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47" w:rsidRDefault="001E3A47" w:rsidP="008A531C">
      <w:pPr>
        <w:spacing w:after="0" w:line="240" w:lineRule="auto"/>
        <w:jc w:val="center"/>
        <w:rPr>
          <w:b/>
          <w:sz w:val="48"/>
          <w:szCs w:val="48"/>
        </w:rPr>
      </w:pPr>
    </w:p>
    <w:p w:rsidR="00730057" w:rsidRDefault="00730057" w:rsidP="008A531C">
      <w:pPr>
        <w:spacing w:after="0" w:line="240" w:lineRule="auto"/>
        <w:jc w:val="center"/>
        <w:rPr>
          <w:b/>
          <w:sz w:val="48"/>
          <w:szCs w:val="48"/>
        </w:rPr>
      </w:pPr>
    </w:p>
    <w:p w:rsidR="00730057" w:rsidRDefault="00730057" w:rsidP="008A531C">
      <w:pPr>
        <w:spacing w:after="0" w:line="240" w:lineRule="auto"/>
        <w:jc w:val="center"/>
        <w:rPr>
          <w:b/>
          <w:sz w:val="48"/>
          <w:szCs w:val="48"/>
        </w:rPr>
      </w:pPr>
    </w:p>
    <w:p w:rsidR="008A531C" w:rsidRPr="002F38C5" w:rsidRDefault="008A531C" w:rsidP="008A531C">
      <w:pPr>
        <w:spacing w:after="0" w:line="240" w:lineRule="auto"/>
        <w:jc w:val="center"/>
        <w:rPr>
          <w:b/>
          <w:sz w:val="48"/>
          <w:szCs w:val="48"/>
        </w:rPr>
      </w:pPr>
      <w:r w:rsidRPr="002F38C5">
        <w:rPr>
          <w:b/>
          <w:sz w:val="48"/>
          <w:szCs w:val="48"/>
        </w:rPr>
        <w:t>VIJAYA BANK RETIREES’ ASSOCIATION(Regd.)</w:t>
      </w:r>
    </w:p>
    <w:p w:rsidR="008A531C" w:rsidRPr="002F38C5" w:rsidRDefault="008A531C" w:rsidP="008A531C">
      <w:pPr>
        <w:spacing w:after="0" w:line="240" w:lineRule="auto"/>
        <w:jc w:val="center"/>
        <w:rPr>
          <w:b/>
          <w:sz w:val="24"/>
          <w:szCs w:val="24"/>
        </w:rPr>
      </w:pPr>
      <w:r w:rsidRPr="002F38C5">
        <w:rPr>
          <w:b/>
          <w:sz w:val="24"/>
          <w:szCs w:val="24"/>
        </w:rPr>
        <w:t>(Affiliated to A.I.B.R.F.)</w:t>
      </w:r>
    </w:p>
    <w:p w:rsidR="008A531C" w:rsidRPr="002F38C5" w:rsidRDefault="008A531C" w:rsidP="008A531C">
      <w:pPr>
        <w:tabs>
          <w:tab w:val="left" w:pos="1935"/>
        </w:tabs>
        <w:spacing w:after="0" w:line="240" w:lineRule="auto"/>
        <w:jc w:val="center"/>
        <w:rPr>
          <w:b/>
          <w:sz w:val="24"/>
          <w:szCs w:val="24"/>
        </w:rPr>
      </w:pPr>
      <w:r w:rsidRPr="002F38C5">
        <w:rPr>
          <w:b/>
          <w:sz w:val="24"/>
          <w:szCs w:val="24"/>
        </w:rPr>
        <w:t>CENTRAL OFFICE</w:t>
      </w:r>
    </w:p>
    <w:p w:rsidR="008A531C" w:rsidRPr="002F38C5" w:rsidRDefault="008A531C" w:rsidP="008A531C">
      <w:pPr>
        <w:spacing w:after="0" w:line="240" w:lineRule="auto"/>
        <w:jc w:val="center"/>
        <w:rPr>
          <w:b/>
          <w:sz w:val="24"/>
          <w:szCs w:val="24"/>
        </w:rPr>
      </w:pPr>
      <w:r w:rsidRPr="002F38C5">
        <w:rPr>
          <w:b/>
          <w:sz w:val="24"/>
          <w:szCs w:val="24"/>
        </w:rPr>
        <w:t>TKV MEMORIAL, P.B.NO.3673, COLLEGE P.O. MAHAKAVI BHARATHIYAR ROAD,</w:t>
      </w:r>
    </w:p>
    <w:p w:rsidR="008A531C" w:rsidRDefault="008A531C" w:rsidP="008A531C">
      <w:pPr>
        <w:spacing w:after="0" w:line="240" w:lineRule="auto"/>
        <w:jc w:val="center"/>
        <w:rPr>
          <w:b/>
          <w:sz w:val="24"/>
          <w:szCs w:val="24"/>
        </w:rPr>
      </w:pPr>
      <w:r w:rsidRPr="002F38C5">
        <w:rPr>
          <w:b/>
          <w:sz w:val="24"/>
          <w:szCs w:val="24"/>
        </w:rPr>
        <w:t>NEAR K.S.R.T.C. BUS STAND, KOCHI – 682 035</w:t>
      </w:r>
    </w:p>
    <w:p w:rsidR="008A531C" w:rsidRPr="002F38C5" w:rsidRDefault="008A531C" w:rsidP="008A531C">
      <w:pPr>
        <w:pBdr>
          <w:bottom w:val="single" w:sz="4" w:space="1" w:color="auto"/>
        </w:pBdr>
        <w:spacing w:after="0" w:line="240" w:lineRule="auto"/>
        <w:jc w:val="center"/>
        <w:rPr>
          <w:sz w:val="24"/>
          <w:szCs w:val="24"/>
        </w:rPr>
      </w:pPr>
    </w:p>
    <w:p w:rsidR="00D60DBE" w:rsidRDefault="00D60DBE"/>
    <w:p w:rsidR="00724D32" w:rsidRDefault="00724D32" w:rsidP="00B97F8A">
      <w:pPr>
        <w:spacing w:after="0" w:line="240" w:lineRule="auto"/>
        <w:jc w:val="center"/>
        <w:rPr>
          <w:sz w:val="28"/>
          <w:szCs w:val="28"/>
          <w:u w:val="single"/>
        </w:rPr>
      </w:pPr>
      <w:r w:rsidRPr="00CC450D">
        <w:rPr>
          <w:sz w:val="28"/>
          <w:szCs w:val="28"/>
          <w:u w:val="single"/>
        </w:rPr>
        <w:t>CIRCULAR NO.</w:t>
      </w:r>
      <w:r w:rsidR="00CC450D">
        <w:rPr>
          <w:sz w:val="28"/>
          <w:szCs w:val="28"/>
          <w:u w:val="single"/>
        </w:rPr>
        <w:t>1</w:t>
      </w:r>
      <w:r w:rsidRPr="00CC450D">
        <w:rPr>
          <w:sz w:val="28"/>
          <w:szCs w:val="28"/>
          <w:u w:val="single"/>
        </w:rPr>
        <w:t>/2013</w:t>
      </w:r>
    </w:p>
    <w:p w:rsidR="00B97F8A" w:rsidRDefault="00B97F8A" w:rsidP="00B97F8A">
      <w:pPr>
        <w:spacing w:after="0" w:line="240" w:lineRule="auto"/>
        <w:jc w:val="right"/>
        <w:rPr>
          <w:sz w:val="28"/>
          <w:szCs w:val="28"/>
        </w:rPr>
      </w:pPr>
      <w:r>
        <w:rPr>
          <w:sz w:val="28"/>
          <w:szCs w:val="28"/>
        </w:rPr>
        <w:t>Kochi</w:t>
      </w:r>
    </w:p>
    <w:p w:rsidR="00B97F8A" w:rsidRDefault="00B97F8A" w:rsidP="00B97F8A">
      <w:pPr>
        <w:spacing w:after="0" w:line="240" w:lineRule="auto"/>
        <w:jc w:val="right"/>
        <w:rPr>
          <w:sz w:val="28"/>
          <w:szCs w:val="28"/>
        </w:rPr>
      </w:pPr>
      <w:r>
        <w:rPr>
          <w:sz w:val="28"/>
          <w:szCs w:val="28"/>
        </w:rPr>
        <w:t>04-02-2013</w:t>
      </w:r>
    </w:p>
    <w:p w:rsidR="0049038E" w:rsidRPr="00B97F8A" w:rsidRDefault="00B97F8A" w:rsidP="00B97F8A">
      <w:pPr>
        <w:spacing w:after="0" w:line="240" w:lineRule="auto"/>
        <w:rPr>
          <w:sz w:val="28"/>
          <w:szCs w:val="28"/>
        </w:rPr>
      </w:pPr>
      <w:r w:rsidRPr="00B97F8A">
        <w:rPr>
          <w:sz w:val="28"/>
          <w:szCs w:val="28"/>
        </w:rPr>
        <w:t>Dear Friends,</w:t>
      </w:r>
    </w:p>
    <w:p w:rsidR="0049038E" w:rsidRPr="00B97F8A" w:rsidRDefault="00B97F8A" w:rsidP="00B97F8A">
      <w:pPr>
        <w:jc w:val="both"/>
        <w:rPr>
          <w:sz w:val="28"/>
          <w:szCs w:val="28"/>
        </w:rPr>
      </w:pPr>
      <w:r w:rsidRPr="00B97F8A">
        <w:rPr>
          <w:sz w:val="28"/>
          <w:szCs w:val="28"/>
        </w:rPr>
        <w:t>There is an increase of 67 slabs during the period from February 2013 to July 2013</w:t>
      </w:r>
    </w:p>
    <w:p w:rsidR="0049038E" w:rsidRPr="00BF14FB" w:rsidRDefault="0049038E" w:rsidP="0049038E">
      <w:pPr>
        <w:spacing w:line="200" w:lineRule="atLeast"/>
        <w:ind w:left="-272" w:right="-245"/>
        <w:jc w:val="center"/>
        <w:rPr>
          <w:rFonts w:ascii="Verdana" w:eastAsia="Calibri" w:hAnsi="Verdana" w:cs="Vrinda"/>
          <w:b/>
        </w:rPr>
      </w:pPr>
      <w:r w:rsidRPr="00BF14FB">
        <w:rPr>
          <w:rFonts w:ascii="Verdana" w:eastAsia="Calibri" w:hAnsi="Verdana" w:cs="Vrinda"/>
          <w:b/>
        </w:rPr>
        <w:t xml:space="preserve">DEARNESS RELIEF TO PENSIONERS </w:t>
      </w:r>
      <w:r>
        <w:rPr>
          <w:rFonts w:ascii="Verdana" w:eastAsia="Calibri" w:hAnsi="Verdana" w:cs="Vrinda"/>
          <w:b/>
        </w:rPr>
        <w:t>67</w:t>
      </w:r>
      <w:r w:rsidRPr="00BF14FB">
        <w:rPr>
          <w:rFonts w:ascii="Verdana" w:eastAsia="Calibri" w:hAnsi="Verdana" w:cs="Vrinda"/>
          <w:b/>
        </w:rPr>
        <w:t xml:space="preserve"> SLABS MORE</w:t>
      </w:r>
      <w:r>
        <w:rPr>
          <w:rFonts w:ascii="Verdana" w:eastAsia="Calibri" w:hAnsi="Verdana" w:cs="Vrinda"/>
          <w:b/>
        </w:rPr>
        <w:t xml:space="preserve">                                                </w:t>
      </w:r>
      <w:r w:rsidRPr="00BF14FB">
        <w:rPr>
          <w:rFonts w:ascii="Verdana" w:eastAsia="Calibri" w:hAnsi="Verdana" w:cs="Vrinda"/>
          <w:b/>
        </w:rPr>
        <w:t xml:space="preserve">FROM </w:t>
      </w:r>
      <w:r>
        <w:rPr>
          <w:rFonts w:ascii="Verdana" w:eastAsia="Calibri" w:hAnsi="Verdana" w:cs="Vrinda"/>
          <w:b/>
        </w:rPr>
        <w:t xml:space="preserve">FEBRUARY 2013. </w:t>
      </w:r>
      <w:r w:rsidRPr="00BF14FB">
        <w:rPr>
          <w:rFonts w:ascii="Verdana" w:eastAsia="Calibri" w:hAnsi="Verdana" w:cs="Vrinda"/>
          <w:b/>
        </w:rPr>
        <w:t>AVERAGE CONSUMER PRICE INDEX</w:t>
      </w:r>
      <w:r>
        <w:rPr>
          <w:rFonts w:ascii="Verdana" w:eastAsia="Calibri" w:hAnsi="Verdana" w:cs="Vrinda"/>
          <w:b/>
        </w:rPr>
        <w:t xml:space="preserve">: 4976.05 </w:t>
      </w:r>
    </w:p>
    <w:tbl>
      <w:tblPr>
        <w:tblW w:w="9667" w:type="dxa"/>
        <w:jc w:val="center"/>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644"/>
        <w:gridCol w:w="1570"/>
        <w:gridCol w:w="1696"/>
        <w:gridCol w:w="1570"/>
        <w:gridCol w:w="1670"/>
        <w:gridCol w:w="1517"/>
      </w:tblGrid>
      <w:tr w:rsidR="0049038E" w:rsidRPr="00BF14FB" w:rsidTr="00B55871">
        <w:trPr>
          <w:jc w:val="center"/>
        </w:trPr>
        <w:tc>
          <w:tcPr>
            <w:tcW w:w="3214"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Retired on or after 01.01.86 but before 01.11.92/01.07.93</w:t>
            </w:r>
          </w:p>
        </w:tc>
        <w:tc>
          <w:tcPr>
            <w:tcW w:w="3266"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Retired on or after 01.11.92/01.07.93 but before 01.04.98</w:t>
            </w:r>
          </w:p>
        </w:tc>
        <w:tc>
          <w:tcPr>
            <w:tcW w:w="3187"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Retired on or after 01.04.98 but before 01.11.2002</w:t>
            </w:r>
          </w:p>
        </w:tc>
      </w:tr>
      <w:tr w:rsidR="0049038E" w:rsidTr="00B55871">
        <w:trPr>
          <w:jc w:val="center"/>
        </w:trPr>
        <w:tc>
          <w:tcPr>
            <w:tcW w:w="3214"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Default="0049038E" w:rsidP="00B55871">
            <w:pPr>
              <w:spacing w:before="60" w:after="60"/>
              <w:jc w:val="center"/>
              <w:rPr>
                <w:rFonts w:ascii="Verdana" w:eastAsia="Calibri" w:hAnsi="Verdana" w:cs="Vrinda"/>
                <w:sz w:val="20"/>
              </w:rPr>
            </w:pPr>
            <w:r>
              <w:rPr>
                <w:rFonts w:ascii="Verdana" w:eastAsia="Calibri" w:hAnsi="Verdana" w:cs="Vrinda"/>
                <w:b/>
                <w:sz w:val="20"/>
              </w:rPr>
              <w:t>Slabs</w:t>
            </w:r>
            <w:r>
              <w:rPr>
                <w:rFonts w:ascii="Verdana" w:eastAsia="Calibri" w:hAnsi="Verdana" w:cs="Vrinda"/>
                <w:sz w:val="20"/>
              </w:rPr>
              <w:t xml:space="preserve"> over CPI 600:  </w:t>
            </w:r>
            <w:r w:rsidRPr="00266D77">
              <w:rPr>
                <w:rFonts w:ascii="Verdana" w:eastAsia="Calibri" w:hAnsi="Verdana" w:cs="Vrinda"/>
                <w:b/>
                <w:sz w:val="20"/>
              </w:rPr>
              <w:t>1094</w:t>
            </w:r>
          </w:p>
        </w:tc>
        <w:tc>
          <w:tcPr>
            <w:tcW w:w="3266"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Default="0049038E" w:rsidP="00B55871">
            <w:pPr>
              <w:spacing w:before="60" w:after="60"/>
              <w:jc w:val="center"/>
              <w:rPr>
                <w:rFonts w:ascii="Verdana" w:eastAsia="Calibri" w:hAnsi="Verdana" w:cs="Vrinda"/>
                <w:sz w:val="20"/>
              </w:rPr>
            </w:pPr>
            <w:r>
              <w:rPr>
                <w:rFonts w:ascii="Verdana" w:eastAsia="Calibri" w:hAnsi="Verdana" w:cs="Vrinda"/>
                <w:b/>
                <w:sz w:val="20"/>
              </w:rPr>
              <w:t>Slabs</w:t>
            </w:r>
            <w:r>
              <w:rPr>
                <w:rFonts w:ascii="Verdana" w:eastAsia="Calibri" w:hAnsi="Verdana" w:cs="Vrinda"/>
                <w:sz w:val="20"/>
              </w:rPr>
              <w:t xml:space="preserve"> over CPI 1148:  </w:t>
            </w:r>
            <w:r w:rsidRPr="00266D77">
              <w:rPr>
                <w:rFonts w:ascii="Verdana" w:eastAsia="Calibri" w:hAnsi="Verdana" w:cs="Vrinda"/>
                <w:b/>
                <w:sz w:val="20"/>
              </w:rPr>
              <w:t>957</w:t>
            </w:r>
          </w:p>
        </w:tc>
        <w:tc>
          <w:tcPr>
            <w:tcW w:w="3187"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Default="0049038E" w:rsidP="00B55871">
            <w:pPr>
              <w:spacing w:before="60" w:after="60"/>
              <w:jc w:val="center"/>
              <w:rPr>
                <w:rFonts w:ascii="Verdana" w:eastAsia="Calibri" w:hAnsi="Verdana" w:cs="Vrinda"/>
                <w:sz w:val="20"/>
              </w:rPr>
            </w:pPr>
            <w:r>
              <w:rPr>
                <w:rFonts w:ascii="Verdana" w:eastAsia="Calibri" w:hAnsi="Verdana" w:cs="Vrinda"/>
                <w:b/>
                <w:sz w:val="20"/>
              </w:rPr>
              <w:t xml:space="preserve">Slabs </w:t>
            </w:r>
            <w:r>
              <w:rPr>
                <w:rFonts w:ascii="Verdana" w:eastAsia="Calibri" w:hAnsi="Verdana" w:cs="Vrinda"/>
                <w:sz w:val="20"/>
              </w:rPr>
              <w:t xml:space="preserve">over CPI 1684:  </w:t>
            </w:r>
            <w:r w:rsidRPr="00266D77">
              <w:rPr>
                <w:rFonts w:ascii="Verdana" w:eastAsia="Calibri" w:hAnsi="Verdana" w:cs="Vrinda"/>
                <w:b/>
                <w:sz w:val="20"/>
              </w:rPr>
              <w:t>823</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spacing w:before="60" w:after="60"/>
              <w:jc w:val="center"/>
              <w:rPr>
                <w:rFonts w:ascii="Verdana" w:eastAsia="Calibri" w:hAnsi="Verdana" w:cs="Vrinda"/>
                <w:sz w:val="20"/>
              </w:rPr>
            </w:pPr>
            <w:r>
              <w:rPr>
                <w:rFonts w:ascii="Verdana" w:eastAsia="Calibri" w:hAnsi="Verdana" w:cs="Vrinda"/>
                <w:sz w:val="20"/>
              </w:rPr>
              <w:t>Basic Pension</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spacing w:before="60" w:after="60"/>
              <w:rPr>
                <w:rFonts w:ascii="Verdana" w:eastAsia="Calibri" w:hAnsi="Verdana" w:cs="Vrinda"/>
                <w:sz w:val="20"/>
              </w:rPr>
            </w:pPr>
            <w:r>
              <w:rPr>
                <w:rFonts w:ascii="Verdana" w:eastAsia="Calibri" w:hAnsi="Verdana" w:cs="Vrinda"/>
                <w:sz w:val="20"/>
              </w:rPr>
              <w:t>Amount</w:t>
            </w:r>
          </w:p>
        </w:tc>
        <w:tc>
          <w:tcPr>
            <w:tcW w:w="1696" w:type="dxa"/>
            <w:tcBorders>
              <w:top w:val="dotted" w:sz="4" w:space="0" w:color="auto"/>
              <w:left w:val="dotted" w:sz="4" w:space="0" w:color="auto"/>
              <w:bottom w:val="dotted" w:sz="4" w:space="0" w:color="auto"/>
              <w:right w:val="dotted" w:sz="4" w:space="0" w:color="auto"/>
            </w:tcBorders>
          </w:tcPr>
          <w:p w:rsidR="0049038E" w:rsidRDefault="0049038E" w:rsidP="00B55871">
            <w:pPr>
              <w:spacing w:before="60" w:after="60"/>
              <w:rPr>
                <w:rFonts w:ascii="Verdana" w:eastAsia="Calibri" w:hAnsi="Verdana" w:cs="Vrinda"/>
                <w:sz w:val="20"/>
              </w:rPr>
            </w:pPr>
            <w:r>
              <w:rPr>
                <w:rFonts w:ascii="Verdana" w:eastAsia="Calibri" w:hAnsi="Verdana" w:cs="Vrinda"/>
                <w:sz w:val="20"/>
              </w:rPr>
              <w:t>Basic Pension</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spacing w:before="60" w:after="60"/>
              <w:rPr>
                <w:rFonts w:ascii="Verdana" w:eastAsia="Calibri" w:hAnsi="Verdana" w:cs="Vrinda"/>
                <w:sz w:val="20"/>
              </w:rPr>
            </w:pPr>
            <w:r>
              <w:rPr>
                <w:rFonts w:ascii="Verdana" w:eastAsia="Calibri" w:hAnsi="Verdana" w:cs="Vrinda"/>
                <w:sz w:val="20"/>
              </w:rPr>
              <w:t>Amount</w:t>
            </w:r>
          </w:p>
        </w:tc>
        <w:tc>
          <w:tcPr>
            <w:tcW w:w="1670" w:type="dxa"/>
            <w:tcBorders>
              <w:top w:val="dotted" w:sz="4" w:space="0" w:color="auto"/>
              <w:left w:val="dotted" w:sz="4" w:space="0" w:color="auto"/>
              <w:bottom w:val="dotted" w:sz="4" w:space="0" w:color="auto"/>
              <w:right w:val="dotted" w:sz="4" w:space="0" w:color="auto"/>
            </w:tcBorders>
          </w:tcPr>
          <w:p w:rsidR="0049038E" w:rsidRDefault="0049038E" w:rsidP="00B55871">
            <w:pPr>
              <w:spacing w:before="60" w:after="60"/>
              <w:rPr>
                <w:rFonts w:ascii="Verdana" w:eastAsia="Calibri" w:hAnsi="Verdana" w:cs="Vrinda"/>
                <w:sz w:val="20"/>
              </w:rPr>
            </w:pPr>
            <w:r>
              <w:rPr>
                <w:rFonts w:ascii="Verdana" w:eastAsia="Calibri" w:hAnsi="Verdana" w:cs="Vrinda"/>
                <w:sz w:val="20"/>
              </w:rPr>
              <w:t>Basic Pension</w:t>
            </w:r>
          </w:p>
        </w:tc>
        <w:tc>
          <w:tcPr>
            <w:tcW w:w="1517"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spacing w:before="60" w:after="60"/>
              <w:rPr>
                <w:rFonts w:ascii="Verdana" w:eastAsia="Calibri" w:hAnsi="Verdana" w:cs="Vrinda"/>
                <w:sz w:val="20"/>
              </w:rPr>
            </w:pPr>
            <w:r>
              <w:rPr>
                <w:rFonts w:ascii="Verdana" w:eastAsia="Calibri" w:hAnsi="Verdana" w:cs="Vrinda"/>
                <w:sz w:val="20"/>
              </w:rPr>
              <w:t>Amount</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Upto Rs.1250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732.98%</w:t>
            </w:r>
          </w:p>
        </w:tc>
        <w:tc>
          <w:tcPr>
            <w:tcW w:w="1696" w:type="dxa"/>
            <w:tcBorders>
              <w:top w:val="dotted" w:sz="4" w:space="0" w:color="auto"/>
              <w:left w:val="dotted" w:sz="4" w:space="0" w:color="auto"/>
              <w:bottom w:val="dotted" w:sz="4" w:space="0" w:color="auto"/>
              <w:right w:val="dotted" w:sz="4" w:space="0" w:color="auto"/>
            </w:tcBorders>
          </w:tcPr>
          <w:p w:rsidR="0049038E" w:rsidRDefault="0049038E" w:rsidP="00B55871">
            <w:pPr>
              <w:rPr>
                <w:rFonts w:ascii="Verdana" w:eastAsia="Calibri" w:hAnsi="Verdana" w:cs="Vrinda"/>
                <w:sz w:val="20"/>
              </w:rPr>
            </w:pPr>
            <w:r>
              <w:rPr>
                <w:rFonts w:ascii="Verdana" w:eastAsia="Calibri" w:hAnsi="Verdana" w:cs="Vrinda"/>
                <w:sz w:val="20"/>
              </w:rPr>
              <w:t>Upto Rs.2400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334.95%</w:t>
            </w:r>
          </w:p>
        </w:tc>
        <w:tc>
          <w:tcPr>
            <w:tcW w:w="1670" w:type="dxa"/>
            <w:tcBorders>
              <w:top w:val="dotted" w:sz="4" w:space="0" w:color="auto"/>
              <w:left w:val="dotted" w:sz="4" w:space="0" w:color="auto"/>
              <w:bottom w:val="dotted" w:sz="4" w:space="0" w:color="auto"/>
              <w:right w:val="dotted" w:sz="4" w:space="0" w:color="auto"/>
            </w:tcBorders>
          </w:tcPr>
          <w:p w:rsidR="0049038E" w:rsidRDefault="0049038E" w:rsidP="00B55871">
            <w:pPr>
              <w:rPr>
                <w:rFonts w:ascii="Verdana" w:eastAsia="Calibri" w:hAnsi="Verdana" w:cs="Vrinda"/>
                <w:sz w:val="20"/>
              </w:rPr>
            </w:pPr>
            <w:r>
              <w:rPr>
                <w:rFonts w:ascii="Verdana" w:eastAsia="Calibri" w:hAnsi="Verdana" w:cs="Vrinda"/>
                <w:sz w:val="20"/>
              </w:rPr>
              <w:t>Upto Rs.3550</w:t>
            </w:r>
          </w:p>
        </w:tc>
        <w:tc>
          <w:tcPr>
            <w:tcW w:w="1517"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197.52%</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Rs.1251 to             Rs.2000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Rs.9162.25 +  601.70%</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Rs.1250/-</w:t>
            </w:r>
          </w:p>
        </w:tc>
        <w:tc>
          <w:tcPr>
            <w:tcW w:w="1696"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Rs.2401 to Rs.3850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Rs.8038.80/- + 277.53%</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Rs.2400/-</w:t>
            </w:r>
          </w:p>
        </w:tc>
        <w:tc>
          <w:tcPr>
            <w:tcW w:w="16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Rs.3551 to Rs.5650</w:t>
            </w:r>
          </w:p>
        </w:tc>
        <w:tc>
          <w:tcPr>
            <w:tcW w:w="1517"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Rs.7011.96</w:t>
            </w:r>
          </w:p>
          <w:p w:rsidR="0049038E" w:rsidRDefault="0049038E" w:rsidP="00B55871">
            <w:pPr>
              <w:rPr>
                <w:rFonts w:ascii="Verdana" w:eastAsia="Calibri" w:hAnsi="Verdana" w:cs="Vrinda"/>
                <w:sz w:val="20"/>
              </w:rPr>
            </w:pPr>
            <w:r>
              <w:rPr>
                <w:rFonts w:ascii="Verdana" w:eastAsia="Calibri" w:hAnsi="Verdana" w:cs="Vrinda"/>
                <w:sz w:val="20"/>
              </w:rPr>
              <w:t>+ 164.60%</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Rs.3550/-</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Rs.2001 to Rs.2130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Rs.13675</w:t>
            </w:r>
          </w:p>
          <w:p w:rsidR="0049038E" w:rsidRDefault="0049038E" w:rsidP="00B55871">
            <w:pPr>
              <w:rPr>
                <w:rFonts w:ascii="Verdana" w:eastAsia="Calibri" w:hAnsi="Verdana" w:cs="Vrinda"/>
                <w:sz w:val="20"/>
              </w:rPr>
            </w:pPr>
            <w:r>
              <w:rPr>
                <w:rFonts w:ascii="Verdana" w:eastAsia="Calibri" w:hAnsi="Verdana" w:cs="Vrinda"/>
                <w:sz w:val="20"/>
              </w:rPr>
              <w:t>+ 361.02%</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Rs.2000.00</w:t>
            </w:r>
          </w:p>
        </w:tc>
        <w:tc>
          <w:tcPr>
            <w:tcW w:w="1696"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Rs.3851 to Rs.4100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Rs.12062.98 + 162.69%</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Rs.3850/-</w:t>
            </w:r>
          </w:p>
        </w:tc>
        <w:tc>
          <w:tcPr>
            <w:tcW w:w="16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Rs.5651 to Rs.6010</w:t>
            </w:r>
          </w:p>
        </w:tc>
        <w:tc>
          <w:tcPr>
            <w:tcW w:w="1517"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Rs.10468.56</w:t>
            </w:r>
          </w:p>
          <w:p w:rsidR="0049038E" w:rsidRDefault="0049038E" w:rsidP="00B55871">
            <w:pPr>
              <w:rPr>
                <w:rFonts w:ascii="Verdana" w:eastAsia="Calibri" w:hAnsi="Verdana" w:cs="Vrinda"/>
                <w:sz w:val="20"/>
              </w:rPr>
            </w:pPr>
            <w:r>
              <w:rPr>
                <w:rFonts w:ascii="Verdana" w:eastAsia="Calibri" w:hAnsi="Verdana" w:cs="Vrinda"/>
                <w:sz w:val="20"/>
              </w:rPr>
              <w:t>+  98.76%</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Rs.5650/-</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lastRenderedPageBreak/>
              <w:t>Above Rs.2130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Rs.14144.32</w:t>
            </w:r>
          </w:p>
          <w:p w:rsidR="0049038E" w:rsidRDefault="0049038E" w:rsidP="00B55871">
            <w:pPr>
              <w:rPr>
                <w:rFonts w:ascii="Verdana" w:eastAsia="Calibri" w:hAnsi="Verdana" w:cs="Vrinda"/>
                <w:sz w:val="20"/>
              </w:rPr>
            </w:pPr>
            <w:r>
              <w:rPr>
                <w:rFonts w:ascii="Verdana" w:eastAsia="Calibri" w:hAnsi="Verdana" w:cs="Vrinda"/>
                <w:sz w:val="20"/>
              </w:rPr>
              <w:t>+ 185.98%</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Rs.2130/-</w:t>
            </w:r>
          </w:p>
        </w:tc>
        <w:tc>
          <w:tcPr>
            <w:tcW w:w="1696"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Above</w:t>
            </w:r>
          </w:p>
          <w:p w:rsidR="0049038E" w:rsidRDefault="0049038E" w:rsidP="00B55871">
            <w:pPr>
              <w:rPr>
                <w:rFonts w:ascii="Verdana" w:eastAsia="Calibri" w:hAnsi="Verdana" w:cs="Vrinda"/>
                <w:sz w:val="20"/>
              </w:rPr>
            </w:pPr>
            <w:r>
              <w:rPr>
                <w:rFonts w:ascii="Verdana" w:eastAsia="Calibri" w:hAnsi="Verdana" w:cs="Vrinda"/>
                <w:sz w:val="20"/>
              </w:rPr>
              <w:t>Rs.4100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Rs.12469.70</w:t>
            </w:r>
          </w:p>
          <w:p w:rsidR="0049038E" w:rsidRDefault="0049038E" w:rsidP="00B55871">
            <w:pPr>
              <w:rPr>
                <w:rFonts w:ascii="Verdana" w:eastAsia="Calibri" w:hAnsi="Verdana" w:cs="Vrinda"/>
                <w:sz w:val="20"/>
              </w:rPr>
            </w:pPr>
            <w:r>
              <w:rPr>
                <w:rFonts w:ascii="Verdana" w:eastAsia="Calibri" w:hAnsi="Verdana" w:cs="Vrinda"/>
                <w:sz w:val="20"/>
              </w:rPr>
              <w:t>+ 86.13%</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Rs.4100/-</w:t>
            </w:r>
          </w:p>
        </w:tc>
        <w:tc>
          <w:tcPr>
            <w:tcW w:w="16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Above</w:t>
            </w:r>
          </w:p>
          <w:p w:rsidR="0049038E" w:rsidRDefault="0049038E" w:rsidP="00B55871">
            <w:pPr>
              <w:rPr>
                <w:rFonts w:ascii="Verdana" w:eastAsia="Calibri" w:hAnsi="Verdana" w:cs="Vrinda"/>
                <w:sz w:val="20"/>
              </w:rPr>
            </w:pPr>
            <w:r>
              <w:rPr>
                <w:rFonts w:ascii="Verdana" w:eastAsia="Calibri" w:hAnsi="Verdana" w:cs="Vrinda"/>
                <w:sz w:val="20"/>
              </w:rPr>
              <w:t>Rs.6010</w:t>
            </w:r>
          </w:p>
        </w:tc>
        <w:tc>
          <w:tcPr>
            <w:tcW w:w="1517"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Rs.10824.09</w:t>
            </w:r>
          </w:p>
          <w:p w:rsidR="0049038E" w:rsidRDefault="0049038E" w:rsidP="00B55871">
            <w:pPr>
              <w:rPr>
                <w:rFonts w:ascii="Verdana" w:eastAsia="Calibri" w:hAnsi="Verdana" w:cs="Vrinda"/>
                <w:sz w:val="20"/>
              </w:rPr>
            </w:pPr>
            <w:r>
              <w:rPr>
                <w:rFonts w:ascii="Verdana" w:eastAsia="Calibri" w:hAnsi="Verdana" w:cs="Vrinda"/>
                <w:sz w:val="20"/>
              </w:rPr>
              <w:t>+  49.38%</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Rs.6010/-</w:t>
            </w:r>
          </w:p>
        </w:tc>
      </w:tr>
      <w:tr w:rsidR="0049038E" w:rsidTr="00B55871">
        <w:trPr>
          <w:jc w:val="center"/>
        </w:trPr>
        <w:tc>
          <w:tcPr>
            <w:tcW w:w="9667" w:type="dxa"/>
            <w:gridSpan w:val="6"/>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Retired on or after 01.11.2002 but before 01.11.2007</w:t>
            </w:r>
          </w:p>
        </w:tc>
      </w:tr>
      <w:tr w:rsidR="0049038E" w:rsidTr="00B55871">
        <w:trPr>
          <w:jc w:val="center"/>
        </w:trPr>
        <w:tc>
          <w:tcPr>
            <w:tcW w:w="1644" w:type="dxa"/>
            <w:vMerge w:val="restart"/>
            <w:tcBorders>
              <w:top w:val="dotted" w:sz="4" w:space="0" w:color="auto"/>
              <w:left w:val="dotted" w:sz="4" w:space="0" w:color="auto"/>
              <w:bottom w:val="dotted" w:sz="4" w:space="0" w:color="auto"/>
              <w:right w:val="dotted" w:sz="4" w:space="0" w:color="auto"/>
            </w:tcBorders>
            <w:vAlign w:val="center"/>
          </w:tcPr>
          <w:p w:rsidR="0049038E" w:rsidRDefault="0049038E" w:rsidP="00B55871">
            <w:pPr>
              <w:jc w:val="center"/>
              <w:rPr>
                <w:rFonts w:ascii="Verdana" w:eastAsia="Calibri" w:hAnsi="Verdana" w:cs="Vrinda"/>
                <w:sz w:val="20"/>
              </w:rPr>
            </w:pPr>
            <w:r>
              <w:rPr>
                <w:rFonts w:ascii="Verdana" w:eastAsia="Calibri" w:hAnsi="Verdana" w:cs="Vrinda"/>
                <w:b/>
                <w:sz w:val="20"/>
              </w:rPr>
              <w:t>Slabs</w:t>
            </w:r>
            <w:r>
              <w:rPr>
                <w:rFonts w:ascii="Verdana" w:eastAsia="Calibri" w:hAnsi="Verdana" w:cs="Vrinda"/>
                <w:sz w:val="20"/>
              </w:rPr>
              <w:t xml:space="preserve"> over CPI </w:t>
            </w:r>
            <w:r>
              <w:rPr>
                <w:rFonts w:ascii="Verdana" w:eastAsia="Calibri" w:hAnsi="Verdana" w:cs="Vrinda"/>
                <w:b/>
                <w:sz w:val="20"/>
              </w:rPr>
              <w:t>2288</w:t>
            </w: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rPr>
            </w:pPr>
            <w:r>
              <w:rPr>
                <w:rFonts w:ascii="Verdana" w:eastAsia="Calibri" w:hAnsi="Verdana" w:cs="Vrinda"/>
                <w:sz w:val="20"/>
              </w:rPr>
              <w:t>For the previous period                             From   Aug. 2012 to Jan. 2013</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rPr>
            </w:pPr>
            <w:r>
              <w:rPr>
                <w:rFonts w:ascii="Verdana" w:eastAsia="Calibri" w:hAnsi="Verdana" w:cs="Vrinda"/>
                <w:sz w:val="20"/>
              </w:rPr>
              <w:t xml:space="preserve">For the current period     From Feb 2013 to July 2013 </w:t>
            </w:r>
          </w:p>
        </w:tc>
      </w:tr>
      <w:tr w:rsidR="0049038E" w:rsidTr="00B55871">
        <w:trPr>
          <w:jc w:val="center"/>
        </w:trPr>
        <w:tc>
          <w:tcPr>
            <w:tcW w:w="1644" w:type="dxa"/>
            <w:vMerge/>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b/>
                <w:sz w:val="20"/>
              </w:rPr>
            </w:pPr>
            <w:r>
              <w:rPr>
                <w:rFonts w:ascii="Verdana" w:eastAsia="Calibri" w:hAnsi="Verdana" w:cs="Vrinda"/>
                <w:b/>
                <w:sz w:val="20"/>
              </w:rPr>
              <w:t>605</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b/>
                <w:sz w:val="20"/>
              </w:rPr>
            </w:pPr>
            <w:r>
              <w:rPr>
                <w:rFonts w:ascii="Verdana" w:eastAsia="Calibri" w:hAnsi="Verdana" w:cs="Vrinda"/>
                <w:b/>
                <w:sz w:val="20"/>
              </w:rPr>
              <w:t>672</w:t>
            </w:r>
          </w:p>
        </w:tc>
      </w:tr>
      <w:tr w:rsidR="0049038E" w:rsidTr="00B55871">
        <w:trPr>
          <w:jc w:val="center"/>
        </w:trPr>
        <w:tc>
          <w:tcPr>
            <w:tcW w:w="1644" w:type="dxa"/>
            <w:vMerge/>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p>
        </w:tc>
        <w:tc>
          <w:tcPr>
            <w:tcW w:w="4836" w:type="dxa"/>
            <w:gridSpan w:val="3"/>
            <w:tcBorders>
              <w:top w:val="dotted" w:sz="4" w:space="0" w:color="auto"/>
              <w:left w:val="dotted" w:sz="4" w:space="0" w:color="auto"/>
              <w:bottom w:val="dotted" w:sz="4" w:space="0" w:color="auto"/>
              <w:right w:val="dotted" w:sz="4" w:space="0" w:color="auto"/>
            </w:tcBorders>
            <w:vAlign w:val="center"/>
          </w:tcPr>
          <w:p w:rsidR="0049038E" w:rsidRDefault="0049038E" w:rsidP="00B55871">
            <w:pPr>
              <w:jc w:val="center"/>
              <w:rPr>
                <w:rFonts w:ascii="Verdana" w:eastAsia="Calibri" w:hAnsi="Verdana" w:cs="Vrinda"/>
                <w:sz w:val="20"/>
              </w:rPr>
            </w:pPr>
            <w:r>
              <w:rPr>
                <w:rFonts w:ascii="Verdana" w:eastAsia="Calibri" w:hAnsi="Verdana" w:cs="Vrinda"/>
                <w:sz w:val="20"/>
              </w:rPr>
              <w:t>108.9% of Entire Basic Pension</w:t>
            </w:r>
          </w:p>
        </w:tc>
        <w:tc>
          <w:tcPr>
            <w:tcW w:w="3187" w:type="dxa"/>
            <w:gridSpan w:val="2"/>
            <w:tcBorders>
              <w:top w:val="dotted" w:sz="4" w:space="0" w:color="auto"/>
              <w:left w:val="dotted" w:sz="4" w:space="0" w:color="auto"/>
              <w:bottom w:val="dotted" w:sz="4" w:space="0" w:color="auto"/>
              <w:right w:val="dotted" w:sz="4" w:space="0" w:color="auto"/>
            </w:tcBorders>
          </w:tcPr>
          <w:p w:rsidR="0049038E" w:rsidRPr="00845874" w:rsidRDefault="0049038E" w:rsidP="00B55871">
            <w:pPr>
              <w:rPr>
                <w:rFonts w:ascii="Verdana" w:eastAsia="Calibri" w:hAnsi="Verdana" w:cs="Vrinda"/>
                <w:b/>
                <w:sz w:val="20"/>
              </w:rPr>
            </w:pPr>
            <w:r w:rsidRPr="00845874">
              <w:rPr>
                <w:rFonts w:ascii="Verdana" w:eastAsia="Calibri" w:hAnsi="Verdana" w:cs="Vrinda"/>
                <w:b/>
                <w:sz w:val="18"/>
                <w:szCs w:val="18"/>
              </w:rPr>
              <w:t>120.96</w:t>
            </w:r>
            <w:r>
              <w:rPr>
                <w:rFonts w:ascii="Verdana" w:eastAsia="Calibri" w:hAnsi="Verdana" w:cs="Vrinda"/>
                <w:sz w:val="20"/>
              </w:rPr>
              <w:t>% Entire Basic</w:t>
            </w:r>
            <w:r w:rsidRPr="00845874">
              <w:rPr>
                <w:rFonts w:ascii="Verdana" w:eastAsia="Calibri" w:hAnsi="Verdana" w:cs="Vrinda"/>
                <w:sz w:val="20"/>
              </w:rPr>
              <w:t>Pension</w:t>
            </w:r>
          </w:p>
        </w:tc>
      </w:tr>
      <w:tr w:rsidR="0049038E" w:rsidTr="00B55871">
        <w:trPr>
          <w:jc w:val="center"/>
        </w:trPr>
        <w:tc>
          <w:tcPr>
            <w:tcW w:w="9667" w:type="dxa"/>
            <w:gridSpan w:val="6"/>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Retired on or after 01.11.2007</w:t>
            </w:r>
          </w:p>
        </w:tc>
      </w:tr>
      <w:tr w:rsidR="0049038E" w:rsidTr="00B55871">
        <w:trPr>
          <w:jc w:val="center"/>
        </w:trPr>
        <w:tc>
          <w:tcPr>
            <w:tcW w:w="1644" w:type="dxa"/>
            <w:vMerge w:val="restart"/>
            <w:tcBorders>
              <w:top w:val="dotted" w:sz="4" w:space="0" w:color="auto"/>
              <w:left w:val="dotted" w:sz="4" w:space="0" w:color="auto"/>
              <w:bottom w:val="dotted" w:sz="4" w:space="0" w:color="auto"/>
              <w:right w:val="dotted" w:sz="4" w:space="0" w:color="auto"/>
            </w:tcBorders>
            <w:vAlign w:val="center"/>
          </w:tcPr>
          <w:p w:rsidR="0049038E" w:rsidRDefault="0049038E" w:rsidP="00B55871">
            <w:pPr>
              <w:jc w:val="center"/>
              <w:rPr>
                <w:rFonts w:ascii="Verdana" w:eastAsia="Calibri" w:hAnsi="Verdana" w:cs="Vrinda"/>
                <w:sz w:val="20"/>
              </w:rPr>
            </w:pPr>
            <w:r>
              <w:rPr>
                <w:rFonts w:ascii="Verdana" w:eastAsia="Calibri" w:hAnsi="Verdana" w:cs="Vrinda"/>
                <w:b/>
                <w:sz w:val="20"/>
              </w:rPr>
              <w:t>Slabs</w:t>
            </w:r>
            <w:r>
              <w:rPr>
                <w:rFonts w:ascii="Verdana" w:eastAsia="Calibri" w:hAnsi="Verdana" w:cs="Vrinda"/>
                <w:sz w:val="20"/>
              </w:rPr>
              <w:t xml:space="preserve"> over CPI </w:t>
            </w:r>
            <w:r>
              <w:rPr>
                <w:rFonts w:ascii="Verdana" w:eastAsia="Calibri" w:hAnsi="Verdana" w:cs="Vrinda"/>
                <w:b/>
                <w:sz w:val="20"/>
              </w:rPr>
              <w:t>2836</w:t>
            </w: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rPr>
            </w:pPr>
            <w:r>
              <w:rPr>
                <w:rFonts w:ascii="Verdana" w:eastAsia="Calibri" w:hAnsi="Verdana" w:cs="Vrinda"/>
                <w:sz w:val="20"/>
              </w:rPr>
              <w:t>For the previous period                                           From  August 2012 to Jan.  2013</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rPr>
            </w:pPr>
            <w:r>
              <w:rPr>
                <w:rFonts w:ascii="Verdana" w:eastAsia="Calibri" w:hAnsi="Verdana" w:cs="Vrinda"/>
                <w:sz w:val="20"/>
              </w:rPr>
              <w:t xml:space="preserve">For the current period  </w:t>
            </w:r>
          </w:p>
          <w:p w:rsidR="0049038E" w:rsidRDefault="0049038E" w:rsidP="00B55871">
            <w:pPr>
              <w:jc w:val="center"/>
              <w:rPr>
                <w:rFonts w:ascii="Verdana" w:eastAsia="Calibri" w:hAnsi="Verdana" w:cs="Vrinda"/>
                <w:sz w:val="20"/>
              </w:rPr>
            </w:pPr>
            <w:r>
              <w:rPr>
                <w:rFonts w:ascii="Verdana" w:eastAsia="Calibri" w:hAnsi="Verdana" w:cs="Vrinda"/>
                <w:sz w:val="20"/>
              </w:rPr>
              <w:t>From Feb 2013 to July 2013</w:t>
            </w:r>
          </w:p>
        </w:tc>
      </w:tr>
      <w:tr w:rsidR="0049038E" w:rsidTr="00B55871">
        <w:trPr>
          <w:jc w:val="center"/>
        </w:trPr>
        <w:tc>
          <w:tcPr>
            <w:tcW w:w="1644" w:type="dxa"/>
            <w:vMerge/>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b/>
                <w:sz w:val="20"/>
              </w:rPr>
            </w:pPr>
            <w:r>
              <w:rPr>
                <w:rFonts w:ascii="Verdana" w:eastAsia="Calibri" w:hAnsi="Verdana" w:cs="Vrinda"/>
                <w:b/>
                <w:sz w:val="20"/>
              </w:rPr>
              <w:t>468</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b/>
                <w:sz w:val="20"/>
              </w:rPr>
            </w:pPr>
            <w:r>
              <w:rPr>
                <w:rFonts w:ascii="Verdana" w:eastAsia="Calibri" w:hAnsi="Verdana" w:cs="Vrinda"/>
                <w:b/>
                <w:sz w:val="20"/>
              </w:rPr>
              <w:t>535</w:t>
            </w:r>
          </w:p>
        </w:tc>
      </w:tr>
      <w:tr w:rsidR="0049038E" w:rsidTr="00B55871">
        <w:trPr>
          <w:jc w:val="center"/>
        </w:trPr>
        <w:tc>
          <w:tcPr>
            <w:tcW w:w="1644" w:type="dxa"/>
            <w:vMerge/>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p>
        </w:tc>
        <w:tc>
          <w:tcPr>
            <w:tcW w:w="4836" w:type="dxa"/>
            <w:gridSpan w:val="3"/>
            <w:tcBorders>
              <w:top w:val="dotted" w:sz="4" w:space="0" w:color="auto"/>
              <w:left w:val="dotted" w:sz="4" w:space="0" w:color="auto"/>
              <w:bottom w:val="dotted" w:sz="4" w:space="0" w:color="auto"/>
              <w:right w:val="dotted" w:sz="4" w:space="0" w:color="auto"/>
            </w:tcBorders>
            <w:vAlign w:val="center"/>
          </w:tcPr>
          <w:p w:rsidR="0049038E" w:rsidRDefault="0049038E" w:rsidP="00B55871">
            <w:pPr>
              <w:jc w:val="center"/>
              <w:rPr>
                <w:rFonts w:ascii="Verdana" w:eastAsia="Calibri" w:hAnsi="Verdana" w:cs="Vrinda"/>
                <w:sz w:val="20"/>
              </w:rPr>
            </w:pPr>
            <w:r>
              <w:rPr>
                <w:rFonts w:ascii="Verdana" w:eastAsia="Calibri" w:hAnsi="Verdana" w:cs="Vrinda"/>
                <w:sz w:val="20"/>
              </w:rPr>
              <w:t>70.2% of Entire Basic Pension</w:t>
            </w:r>
          </w:p>
        </w:tc>
        <w:tc>
          <w:tcPr>
            <w:tcW w:w="3187" w:type="dxa"/>
            <w:gridSpan w:val="2"/>
            <w:tcBorders>
              <w:top w:val="dotted" w:sz="4" w:space="0" w:color="auto"/>
              <w:left w:val="dotted" w:sz="4" w:space="0" w:color="auto"/>
              <w:bottom w:val="dotted" w:sz="4" w:space="0" w:color="auto"/>
              <w:right w:val="dotted" w:sz="4" w:space="0" w:color="auto"/>
            </w:tcBorders>
          </w:tcPr>
          <w:p w:rsidR="0049038E" w:rsidRPr="00FC33A7" w:rsidRDefault="0049038E" w:rsidP="00B55871">
            <w:pPr>
              <w:rPr>
                <w:rFonts w:ascii="Verdana" w:eastAsia="Calibri" w:hAnsi="Verdana" w:cs="Vrinda"/>
                <w:sz w:val="18"/>
                <w:szCs w:val="18"/>
              </w:rPr>
            </w:pPr>
            <w:r>
              <w:rPr>
                <w:rFonts w:ascii="Verdana" w:eastAsia="Calibri" w:hAnsi="Verdana" w:cs="Vrinda"/>
                <w:b/>
                <w:sz w:val="18"/>
                <w:szCs w:val="18"/>
              </w:rPr>
              <w:t>80.25</w:t>
            </w:r>
            <w:r w:rsidRPr="00A91732">
              <w:rPr>
                <w:rFonts w:ascii="Verdana" w:eastAsia="Calibri" w:hAnsi="Verdana" w:cs="Vrinda"/>
                <w:b/>
                <w:sz w:val="18"/>
                <w:szCs w:val="18"/>
              </w:rPr>
              <w:t>%</w:t>
            </w:r>
            <w:r w:rsidRPr="00FC33A7">
              <w:rPr>
                <w:rFonts w:ascii="Verdana" w:eastAsia="Calibri" w:hAnsi="Verdana" w:cs="Vrinda"/>
                <w:sz w:val="18"/>
                <w:szCs w:val="18"/>
              </w:rPr>
              <w:t xml:space="preserve"> of Entire Basic Pension</w:t>
            </w:r>
          </w:p>
        </w:tc>
      </w:tr>
      <w:tr w:rsidR="0049038E" w:rsidRPr="00B23BB9" w:rsidTr="00B55871">
        <w:trPr>
          <w:jc w:val="center"/>
        </w:trPr>
        <w:tc>
          <w:tcPr>
            <w:tcW w:w="9667" w:type="dxa"/>
            <w:gridSpan w:val="6"/>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Surviving Pre – 1986 Retirees</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tcPr>
          <w:p w:rsidR="0049038E" w:rsidRDefault="0049038E" w:rsidP="00B55871">
            <w:pPr>
              <w:spacing w:before="60" w:after="60"/>
              <w:jc w:val="center"/>
              <w:rPr>
                <w:rFonts w:ascii="Verdana" w:eastAsia="Calibri" w:hAnsi="Verdana" w:cs="Vrinda"/>
                <w:b/>
                <w:sz w:val="20"/>
              </w:rPr>
            </w:pPr>
            <w:r>
              <w:rPr>
                <w:rFonts w:ascii="Verdana" w:eastAsia="Calibri" w:hAnsi="Verdana" w:cs="Vrinda"/>
                <w:b/>
                <w:sz w:val="20"/>
              </w:rPr>
              <w:t>Slabs</w:t>
            </w: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spacing w:before="60" w:after="60"/>
              <w:jc w:val="center"/>
              <w:rPr>
                <w:rFonts w:ascii="Verdana" w:eastAsia="Calibri" w:hAnsi="Verdana" w:cs="Vrinda"/>
                <w:sz w:val="20"/>
              </w:rPr>
            </w:pPr>
            <w:r>
              <w:rPr>
                <w:rFonts w:ascii="Verdana" w:eastAsia="Calibri" w:hAnsi="Verdana" w:cs="Vrinda"/>
                <w:sz w:val="20"/>
              </w:rPr>
              <w:t>Rate &amp; Amount of Dearness Relief</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spacing w:before="60" w:after="60"/>
              <w:jc w:val="center"/>
              <w:rPr>
                <w:rFonts w:ascii="Verdana" w:eastAsia="Calibri" w:hAnsi="Verdana" w:cs="Vrinda"/>
                <w:sz w:val="20"/>
              </w:rPr>
            </w:pPr>
            <w:r>
              <w:rPr>
                <w:rFonts w:ascii="Verdana" w:eastAsia="Calibri" w:hAnsi="Verdana" w:cs="Vrinda"/>
                <w:sz w:val="20"/>
              </w:rPr>
              <w:t>Total Amount Payable</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b/>
                <w:sz w:val="20"/>
              </w:rPr>
            </w:pPr>
            <w:r>
              <w:rPr>
                <w:rFonts w:ascii="Verdana" w:eastAsia="Calibri" w:hAnsi="Verdana" w:cs="Vrinda"/>
                <w:b/>
                <w:sz w:val="20"/>
              </w:rPr>
              <w:t>1094</w:t>
            </w: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rPr>
            </w:pPr>
            <w:r>
              <w:rPr>
                <w:rFonts w:ascii="Verdana" w:eastAsia="Calibri" w:hAnsi="Verdana" w:cs="Vrinda"/>
                <w:sz w:val="20"/>
              </w:rPr>
              <w:t xml:space="preserve">732.98% on Ex-Gratia </w:t>
            </w:r>
            <w:r>
              <w:rPr>
                <w:rFonts w:ascii="Verdana" w:eastAsia="Calibri" w:hAnsi="Verdana" w:cs="Vrinda"/>
                <w:b/>
                <w:sz w:val="20"/>
              </w:rPr>
              <w:t>Rs.300</w:t>
            </w:r>
            <w:r>
              <w:rPr>
                <w:rFonts w:ascii="Verdana" w:eastAsia="Calibri" w:hAnsi="Verdana" w:cs="Vrinda"/>
                <w:sz w:val="20"/>
              </w:rPr>
              <w:t xml:space="preserve"> = Rs.2198.94</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lang w:val="fr-FR"/>
              </w:rPr>
            </w:pPr>
            <w:r>
              <w:rPr>
                <w:rFonts w:ascii="Verdana" w:eastAsia="Calibri" w:hAnsi="Verdana" w:cs="Vrinda"/>
                <w:sz w:val="20"/>
                <w:lang w:val="fr-FR"/>
              </w:rPr>
              <w:t>Rs.2,498.94</w:t>
            </w:r>
          </w:p>
        </w:tc>
      </w:tr>
    </w:tbl>
    <w:p w:rsidR="0049038E" w:rsidRDefault="0049038E" w:rsidP="00724D32">
      <w:pPr>
        <w:jc w:val="center"/>
        <w:rPr>
          <w:sz w:val="28"/>
          <w:szCs w:val="28"/>
          <w:u w:val="single"/>
        </w:rPr>
      </w:pPr>
    </w:p>
    <w:p w:rsidR="0049038E" w:rsidRPr="009D20C4" w:rsidRDefault="009D20C4" w:rsidP="009D20C4">
      <w:pPr>
        <w:spacing w:after="0" w:line="240" w:lineRule="auto"/>
        <w:jc w:val="both"/>
      </w:pPr>
      <w:r w:rsidRPr="009D20C4">
        <w:t xml:space="preserve">We have submitted </w:t>
      </w:r>
      <w:r>
        <w:t>the following</w:t>
      </w:r>
      <w:r w:rsidR="004B4FC5">
        <w:t xml:space="preserve"> representation</w:t>
      </w:r>
      <w:r>
        <w:t xml:space="preserve"> to the bank management and same is re-produced herein below:-</w:t>
      </w:r>
    </w:p>
    <w:p w:rsidR="0049038E" w:rsidRPr="00CC450D" w:rsidRDefault="0049038E" w:rsidP="00724D32">
      <w:pPr>
        <w:jc w:val="center"/>
        <w:rPr>
          <w:sz w:val="28"/>
          <w:szCs w:val="28"/>
          <w:u w:val="single"/>
        </w:rPr>
      </w:pPr>
    </w:p>
    <w:p w:rsidR="005A32D6" w:rsidRDefault="005A32D6" w:rsidP="005A32D6">
      <w:pPr>
        <w:spacing w:after="0" w:line="240" w:lineRule="auto"/>
      </w:pPr>
      <w:r>
        <w:t>The Chairman &amp;MD</w:t>
      </w:r>
      <w:r>
        <w:tab/>
      </w:r>
      <w:r>
        <w:tab/>
      </w:r>
      <w:r>
        <w:tab/>
      </w:r>
      <w:r>
        <w:tab/>
      </w:r>
      <w:r>
        <w:tab/>
      </w:r>
      <w:r>
        <w:tab/>
      </w:r>
      <w:r>
        <w:tab/>
        <w:t xml:space="preserve">                 Date: 27-12-2012</w:t>
      </w:r>
    </w:p>
    <w:p w:rsidR="005A32D6" w:rsidRDefault="005A32D6" w:rsidP="005A32D6">
      <w:pPr>
        <w:spacing w:after="0" w:line="240" w:lineRule="auto"/>
      </w:pPr>
      <w:r>
        <w:t>Vijaya Bank,</w:t>
      </w:r>
    </w:p>
    <w:p w:rsidR="005A32D6" w:rsidRDefault="005A32D6" w:rsidP="005A32D6">
      <w:pPr>
        <w:spacing w:after="0" w:line="240" w:lineRule="auto"/>
      </w:pPr>
      <w:r>
        <w:t>Head Office,</w:t>
      </w:r>
    </w:p>
    <w:p w:rsidR="005A32D6" w:rsidRDefault="005A32D6" w:rsidP="005A32D6">
      <w:pPr>
        <w:spacing w:after="0" w:line="240" w:lineRule="auto"/>
        <w:jc w:val="both"/>
      </w:pPr>
      <w:r>
        <w:t>Bangalore</w:t>
      </w:r>
    </w:p>
    <w:p w:rsidR="005A32D6" w:rsidRDefault="005A32D6" w:rsidP="00384AC9">
      <w:pPr>
        <w:spacing w:after="0" w:line="240" w:lineRule="auto"/>
        <w:jc w:val="both"/>
      </w:pPr>
    </w:p>
    <w:p w:rsidR="005A32D6" w:rsidRDefault="005A32D6" w:rsidP="00384AC9">
      <w:pPr>
        <w:spacing w:after="0" w:line="240" w:lineRule="auto"/>
        <w:jc w:val="both"/>
      </w:pPr>
      <w:r>
        <w:t>Dear Sir,</w:t>
      </w:r>
    </w:p>
    <w:p w:rsidR="00577090" w:rsidRDefault="00577090" w:rsidP="00384AC9">
      <w:pPr>
        <w:spacing w:after="0" w:line="240" w:lineRule="auto"/>
        <w:jc w:val="both"/>
      </w:pPr>
    </w:p>
    <w:p w:rsidR="00577090" w:rsidRDefault="00C02FFC" w:rsidP="00384AC9">
      <w:pPr>
        <w:spacing w:after="0" w:line="240" w:lineRule="auto"/>
        <w:jc w:val="both"/>
      </w:pPr>
      <w:r>
        <w:t>We have been representing to the Management to consider several issues relating to the pensioners.  The facilities we have sought for pensioners are available in most of the Public sector banks.  However except Identity cards for those who retired under VRS no other issue has been considered so far.  We request the management to be considerate and compassionate to those who retired from the Bank after serving the Bank for years.  While all other banks are considerate to pensioners and recognize their service to the banks unfortunately our Bank is yet to show such consideration to them.</w:t>
      </w:r>
    </w:p>
    <w:p w:rsidR="00C02FFC" w:rsidRDefault="00C02FFC" w:rsidP="00384AC9">
      <w:pPr>
        <w:spacing w:after="0" w:line="240" w:lineRule="auto"/>
        <w:jc w:val="both"/>
      </w:pPr>
    </w:p>
    <w:p w:rsidR="00C02FFC" w:rsidRDefault="00C02FFC" w:rsidP="00C02FFC">
      <w:pPr>
        <w:pStyle w:val="ListParagraph"/>
        <w:numPr>
          <w:ilvl w:val="0"/>
          <w:numId w:val="11"/>
        </w:numPr>
        <w:spacing w:after="0" w:line="240" w:lineRule="auto"/>
        <w:jc w:val="both"/>
      </w:pPr>
      <w:r>
        <w:lastRenderedPageBreak/>
        <w:t>Medical Aid – our Bank is extending Rs.1500/-per annum to the pensioners who retired on superannuation.  Most of the banks increased the same to Rs.2000/-and more.  Further the facility is available to those retired before attaining superannuation, when they reach the age of 60.  Several bank have evolved scheme for reimbursement of medical expenses under certain scheme.  We request you to evolve a reasonable and respectable Medical Scheme for all</w:t>
      </w:r>
      <w:r w:rsidR="00CC450D">
        <w:t xml:space="preserve"> Pensi</w:t>
      </w:r>
      <w:r w:rsidR="0058446E">
        <w:t>oners.</w:t>
      </w:r>
    </w:p>
    <w:p w:rsidR="0058446E" w:rsidRDefault="0058446E" w:rsidP="0058446E">
      <w:pPr>
        <w:spacing w:after="0" w:line="240" w:lineRule="auto"/>
        <w:ind w:left="360"/>
        <w:jc w:val="both"/>
      </w:pPr>
    </w:p>
    <w:p w:rsidR="0058446E" w:rsidRDefault="0058446E" w:rsidP="0058446E">
      <w:pPr>
        <w:pStyle w:val="ListParagraph"/>
        <w:numPr>
          <w:ilvl w:val="0"/>
          <w:numId w:val="11"/>
        </w:numPr>
        <w:spacing w:after="0" w:line="240" w:lineRule="auto"/>
        <w:jc w:val="both"/>
      </w:pPr>
      <w:r>
        <w:t>Holiday Homes – In many banks pensioners are entitled to stay in holiday homes as in the case of serving employees.  We request you to consider the same to pensioners also.</w:t>
      </w:r>
    </w:p>
    <w:p w:rsidR="0058446E" w:rsidRDefault="0058446E" w:rsidP="0058446E">
      <w:pPr>
        <w:pStyle w:val="ListParagraph"/>
      </w:pPr>
    </w:p>
    <w:p w:rsidR="0058446E" w:rsidRDefault="0058446E" w:rsidP="0058446E">
      <w:pPr>
        <w:pStyle w:val="ListParagraph"/>
        <w:numPr>
          <w:ilvl w:val="0"/>
          <w:numId w:val="11"/>
        </w:numPr>
        <w:spacing w:after="0" w:line="240" w:lineRule="auto"/>
        <w:jc w:val="both"/>
      </w:pPr>
      <w:r>
        <w:t xml:space="preserve">Allocation of funds for welfare of retirees out of staff welfare fund – In many banks substantial amount is allotted to welfare of retirees as per the direction of Government/IBA.  In our bank substantial fund is available in the staff welfare fund.  We request the bank to allot substantial amount for the welfare of the pensioners </w:t>
      </w:r>
      <w:r w:rsidR="001921A8">
        <w:t>so that bank can extend increase</w:t>
      </w:r>
      <w:r>
        <w:t>d medical aid/facilities to the retirees.</w:t>
      </w:r>
    </w:p>
    <w:p w:rsidR="0058446E" w:rsidRDefault="0058446E" w:rsidP="0058446E">
      <w:pPr>
        <w:pStyle w:val="ListParagraph"/>
      </w:pPr>
    </w:p>
    <w:p w:rsidR="0058446E" w:rsidRDefault="0058446E" w:rsidP="0058446E">
      <w:pPr>
        <w:pStyle w:val="ListParagraph"/>
        <w:numPr>
          <w:ilvl w:val="0"/>
          <w:numId w:val="11"/>
        </w:numPr>
        <w:spacing w:after="0" w:line="240" w:lineRule="auto"/>
        <w:jc w:val="both"/>
      </w:pPr>
      <w:r>
        <w:t>Grievance Cell – IBA has advised the Banks to set up Grievance Cell to discuss grievances/complaints of pensioners.  While in most</w:t>
      </w:r>
      <w:r w:rsidR="001921A8">
        <w:t xml:space="preserve"> of</w:t>
      </w:r>
      <w:r>
        <w:t xml:space="preserve"> the banks such Cells have been established and discussions are held periodically with Retirees’ </w:t>
      </w:r>
      <w:r w:rsidR="001921A8">
        <w:t xml:space="preserve">organizations </w:t>
      </w:r>
      <w:r>
        <w:t>, we regret that our repeated request in the matter has not been considered by the Bank.</w:t>
      </w:r>
    </w:p>
    <w:p w:rsidR="0058446E" w:rsidRDefault="0058446E" w:rsidP="0058446E">
      <w:pPr>
        <w:pStyle w:val="ListParagraph"/>
      </w:pPr>
    </w:p>
    <w:p w:rsidR="0058446E" w:rsidRDefault="0058446E" w:rsidP="0058446E">
      <w:pPr>
        <w:pStyle w:val="ListParagraph"/>
        <w:numPr>
          <w:ilvl w:val="0"/>
          <w:numId w:val="11"/>
        </w:numPr>
        <w:spacing w:after="0" w:line="240" w:lineRule="auto"/>
        <w:jc w:val="both"/>
      </w:pPr>
      <w:r>
        <w:t>In certain banks pensioners are extended festival advances and also credit facilities to pensioners on easy terms.  We request the bank to consider the facilities to pensioners of our bank.</w:t>
      </w:r>
    </w:p>
    <w:p w:rsidR="0058446E" w:rsidRDefault="0058446E" w:rsidP="0058446E">
      <w:pPr>
        <w:pStyle w:val="ListParagraph"/>
      </w:pPr>
    </w:p>
    <w:p w:rsidR="0058446E" w:rsidRDefault="0058446E" w:rsidP="0058446E">
      <w:pPr>
        <w:pStyle w:val="ListParagraph"/>
        <w:numPr>
          <w:ilvl w:val="0"/>
          <w:numId w:val="11"/>
        </w:numPr>
        <w:spacing w:after="0" w:line="240" w:lineRule="auto"/>
        <w:jc w:val="both"/>
      </w:pPr>
      <w:r>
        <w:t>Pension Pass Books – We request the bank to supply Pension Pass Book to pensioners as in the case of other banks.</w:t>
      </w:r>
    </w:p>
    <w:p w:rsidR="0058446E" w:rsidRDefault="0058446E" w:rsidP="0058446E">
      <w:pPr>
        <w:pStyle w:val="ListParagraph"/>
      </w:pPr>
    </w:p>
    <w:p w:rsidR="0058446E" w:rsidRDefault="0058446E" w:rsidP="0058446E">
      <w:pPr>
        <w:pStyle w:val="ListParagraph"/>
        <w:numPr>
          <w:ilvl w:val="0"/>
          <w:numId w:val="11"/>
        </w:numPr>
        <w:spacing w:after="0" w:line="240" w:lineRule="auto"/>
        <w:jc w:val="both"/>
      </w:pPr>
      <w:r>
        <w:t>In the past our Bank was enrolling Legal practitioners after retiring/resigning from the Bank in the panel of advocates.  Sometime back Bank took a decision to withdraw all the files from them and stopped including such persons in the panel.  In fact the Bank was in an advantageous position</w:t>
      </w:r>
      <w:r w:rsidR="00730057">
        <w:t xml:space="preserve"> </w:t>
      </w:r>
      <w:r w:rsidR="001921A8">
        <w:t>while</w:t>
      </w:r>
      <w:r>
        <w:t xml:space="preserve"> utilizing their services as they have knowledge and commitment to the Bank.  We request the Management to reconsider the issue.</w:t>
      </w:r>
    </w:p>
    <w:p w:rsidR="0058446E" w:rsidRDefault="00401512" w:rsidP="0058446E">
      <w:pPr>
        <w:spacing w:after="0" w:line="240" w:lineRule="auto"/>
        <w:jc w:val="both"/>
      </w:pPr>
      <w:r>
        <w:t>Sir, we have not requested for facilities that are not available in other banks.  We believe that the contribution of the employees of our Bank have not been inferior to that in the other banks.  Yet our bank has not been considerate to them when they retire.  We request the Management to be magnanimous and humanitarian towards the retirees as in the case of other banks.</w:t>
      </w:r>
    </w:p>
    <w:p w:rsidR="00401512" w:rsidRDefault="00401512" w:rsidP="0058446E">
      <w:pPr>
        <w:spacing w:after="0" w:line="240" w:lineRule="auto"/>
        <w:jc w:val="both"/>
      </w:pPr>
    </w:p>
    <w:p w:rsidR="00401512" w:rsidRDefault="00401512" w:rsidP="0058446E">
      <w:pPr>
        <w:spacing w:after="0" w:line="240" w:lineRule="auto"/>
        <w:jc w:val="both"/>
      </w:pPr>
      <w:r>
        <w:t>We sincerely hope that the Management will consider our request at an early date.</w:t>
      </w:r>
    </w:p>
    <w:p w:rsidR="005A32D6" w:rsidRDefault="005A32D6" w:rsidP="0058446E">
      <w:pPr>
        <w:spacing w:after="0" w:line="240" w:lineRule="auto"/>
        <w:jc w:val="both"/>
      </w:pPr>
    </w:p>
    <w:p w:rsidR="005A32D6" w:rsidRDefault="005A32D6" w:rsidP="0058446E">
      <w:pPr>
        <w:spacing w:after="0" w:line="240" w:lineRule="auto"/>
        <w:jc w:val="both"/>
      </w:pPr>
      <w:r>
        <w:t>Yours faithfully,</w:t>
      </w:r>
    </w:p>
    <w:p w:rsidR="005A32D6" w:rsidRDefault="005A32D6" w:rsidP="0058446E">
      <w:pPr>
        <w:spacing w:after="0" w:line="240" w:lineRule="auto"/>
        <w:jc w:val="both"/>
      </w:pPr>
      <w:r>
        <w:t xml:space="preserve">         Sd/-</w:t>
      </w:r>
    </w:p>
    <w:p w:rsidR="005A32D6" w:rsidRDefault="005A32D6" w:rsidP="0058446E">
      <w:pPr>
        <w:spacing w:after="0" w:line="240" w:lineRule="auto"/>
        <w:jc w:val="both"/>
      </w:pPr>
      <w:r>
        <w:t>C.Gopinathan Nair,</w:t>
      </w:r>
    </w:p>
    <w:p w:rsidR="005A32D6" w:rsidRDefault="005A32D6" w:rsidP="0058446E">
      <w:pPr>
        <w:spacing w:after="0" w:line="240" w:lineRule="auto"/>
        <w:jc w:val="both"/>
      </w:pPr>
      <w:r>
        <w:t>President</w:t>
      </w:r>
    </w:p>
    <w:p w:rsidR="009D20C4" w:rsidRPr="009D20C4" w:rsidRDefault="009D20C4" w:rsidP="0058446E">
      <w:pPr>
        <w:spacing w:after="0" w:line="240" w:lineRule="auto"/>
        <w:jc w:val="both"/>
        <w:rPr>
          <w:u w:val="single"/>
        </w:rPr>
      </w:pPr>
      <w:r w:rsidRPr="009D20C4">
        <w:rPr>
          <w:u w:val="single"/>
        </w:rPr>
        <w:t xml:space="preserve">5 YEARS NOTIONAL WEIGHTAGE:- </w:t>
      </w:r>
    </w:p>
    <w:p w:rsidR="00401512" w:rsidRDefault="009D20C4" w:rsidP="0058446E">
      <w:pPr>
        <w:spacing w:after="0" w:line="240" w:lineRule="auto"/>
        <w:jc w:val="both"/>
      </w:pPr>
      <w:r>
        <w:t xml:space="preserve">We have received the Judgment </w:t>
      </w:r>
      <w:r w:rsidR="004B4FC5">
        <w:t>copy of transfer petition</w:t>
      </w:r>
      <w:r w:rsidR="001921A8">
        <w:t xml:space="preserve"> </w:t>
      </w:r>
      <w:r w:rsidR="004B4FC5">
        <w:t>(civil) No.1291 of 2012 against VBRA from Hon’ble Supreme Court.  Since the said petition was dismissed by the Hon’ble Supreme Court we have now filed a petition for direction to the bank to allow 5 years weightage of service to the pensioners on 03-01-2013 at Hon’ble High Court of Kerala.  The case is now posted for hearing on 28-01-2013 and it is further adjourned.  The SLP filed by the bank at Hon’ble Supreme Court is not yet posted for hearing.</w:t>
      </w:r>
    </w:p>
    <w:p w:rsidR="001E0753" w:rsidRDefault="001E0753" w:rsidP="0058446E">
      <w:pPr>
        <w:spacing w:after="0" w:line="240" w:lineRule="auto"/>
        <w:jc w:val="both"/>
      </w:pPr>
    </w:p>
    <w:p w:rsidR="001E0753" w:rsidRDefault="001E0753" w:rsidP="001B6BF1">
      <w:pPr>
        <w:spacing w:after="0" w:line="240" w:lineRule="auto"/>
        <w:jc w:val="both"/>
      </w:pPr>
      <w:r w:rsidRPr="001E0753">
        <w:rPr>
          <w:u w:val="single"/>
        </w:rPr>
        <w:t>INCENTIVE SCHEME FOR RETIRED STAFF ENGAGED AS RECOVERY AGENTS</w:t>
      </w:r>
      <w:r>
        <w:t>:-</w:t>
      </w:r>
    </w:p>
    <w:p w:rsidR="008A531C" w:rsidRDefault="001E0753" w:rsidP="001B6BF1">
      <w:pPr>
        <w:spacing w:after="0" w:line="240" w:lineRule="auto"/>
        <w:jc w:val="both"/>
      </w:pPr>
      <w:r>
        <w:t xml:space="preserve">We have received a letter from Credit-Review &amp; Recovery </w:t>
      </w:r>
      <w:r w:rsidR="001921A8">
        <w:t>Department</w:t>
      </w:r>
      <w:r>
        <w:t>, Head Office,</w:t>
      </w:r>
      <w:r w:rsidR="001921A8">
        <w:t xml:space="preserve"> </w:t>
      </w:r>
      <w:r>
        <w:t>Bangalore (Ref:CD/R&amp;R/AGM/SD/2064/2012 dated 27-11-2012). The same is reproduced herein below for the information of our members:-</w:t>
      </w:r>
    </w:p>
    <w:p w:rsidR="001E0753" w:rsidRDefault="001E0753" w:rsidP="001B6BF1">
      <w:pPr>
        <w:spacing w:after="0" w:line="240" w:lineRule="auto"/>
        <w:jc w:val="both"/>
      </w:pPr>
      <w:r>
        <w:t>NPA of every Bank is increasing day by day across the Banking Industry.  The level of NPA is touching to its new high unless curbed immediately.  Such huge increase in NPA will affect the health of the organization.</w:t>
      </w:r>
    </w:p>
    <w:p w:rsidR="001E0753" w:rsidRDefault="001E0753" w:rsidP="001B6BF1">
      <w:pPr>
        <w:spacing w:after="0" w:line="240" w:lineRule="auto"/>
        <w:jc w:val="both"/>
      </w:pPr>
      <w:r>
        <w:t>We understand that persistent follow up with the borrowers and guarantors will yield good results in recovery of NPA accounts.  We have a Board approval policy for engaging the services of retired staff members of Public Sector Banks as the employees of PSBs will have an experience in dealing with NPA accounts of their respective Banks, while in employment.  We intend to utilize the services of such experience work force in reduction of NPA of the Bank.</w:t>
      </w:r>
    </w:p>
    <w:p w:rsidR="001E0753" w:rsidRDefault="001E0753" w:rsidP="001B6BF1">
      <w:pPr>
        <w:spacing w:after="0" w:line="240" w:lineRule="auto"/>
        <w:jc w:val="both"/>
      </w:pPr>
      <w:r>
        <w:t>The basic features of the scheme are as under:-</w:t>
      </w:r>
    </w:p>
    <w:p w:rsidR="001E0753" w:rsidRDefault="001E0753" w:rsidP="001B6BF1">
      <w:pPr>
        <w:spacing w:after="0" w:line="240" w:lineRule="auto"/>
        <w:jc w:val="both"/>
        <w:rPr>
          <w:u w:val="single"/>
        </w:rPr>
      </w:pPr>
      <w:r w:rsidRPr="001E0753">
        <w:rPr>
          <w:u w:val="single"/>
        </w:rPr>
        <w:t>Eligibility for empanelment:-</w:t>
      </w:r>
    </w:p>
    <w:p w:rsidR="001E0753" w:rsidRDefault="001E0753" w:rsidP="001B6BF1">
      <w:pPr>
        <w:spacing w:after="0" w:line="240" w:lineRule="auto"/>
        <w:jc w:val="both"/>
      </w:pPr>
      <w:r>
        <w:t>Retired officials(both officers &amp; clericals) of our Bank and officers of Public Sector Banks/Public Sector Enterprises/Government departments.</w:t>
      </w:r>
      <w:r>
        <w:tab/>
        <w:t>Officials who have retired after superannuation or on VRS/resignation are eligible for empanelment as recovery agents.  Officials leaving services</w:t>
      </w:r>
      <w:r w:rsidR="00A41AB7">
        <w:t xml:space="preserve"> on account of Termination shall not be eligible.  Preference may be given to pensioners.</w:t>
      </w:r>
    </w:p>
    <w:p w:rsidR="00A41AB7" w:rsidRDefault="00A41AB7" w:rsidP="001B6BF1">
      <w:pPr>
        <w:spacing w:after="0" w:line="240" w:lineRule="auto"/>
        <w:jc w:val="both"/>
      </w:pPr>
      <w:r>
        <w:t xml:space="preserve">Age at the entry level should not be more than 65 years.  Maximum age limit is 70 years.  They should have sound physical and mental health and should be able to undertake </w:t>
      </w:r>
      <w:r w:rsidR="001921A8">
        <w:t>field</w:t>
      </w:r>
      <w:r>
        <w:t xml:space="preserve"> visits.  They should possess proper orientation in recovery matter.</w:t>
      </w:r>
    </w:p>
    <w:p w:rsidR="00A41AB7" w:rsidRDefault="00A41AB7" w:rsidP="001B6BF1">
      <w:pPr>
        <w:spacing w:after="0" w:line="240" w:lineRule="auto"/>
        <w:jc w:val="both"/>
      </w:pPr>
      <w:r>
        <w:t>Retired officials should possess a good track record and should not have any pending criminal case against them.</w:t>
      </w:r>
    </w:p>
    <w:p w:rsidR="00A41AB7" w:rsidRDefault="00A41AB7" w:rsidP="001B6BF1">
      <w:pPr>
        <w:spacing w:after="0" w:line="240" w:lineRule="auto"/>
        <w:jc w:val="both"/>
      </w:pPr>
      <w:r>
        <w:t>Retired officials should have undergone required training and obtained certificate from IIBF/any approved institution.</w:t>
      </w:r>
    </w:p>
    <w:p w:rsidR="00A41AB7" w:rsidRDefault="00A41AB7" w:rsidP="001B6BF1">
      <w:pPr>
        <w:spacing w:after="0" w:line="240" w:lineRule="auto"/>
        <w:jc w:val="both"/>
      </w:pPr>
      <w:r>
        <w:t>Retired Officers and Clerks of Vijaya Bank.</w:t>
      </w:r>
    </w:p>
    <w:p w:rsidR="00A41AB7" w:rsidRDefault="00A41AB7" w:rsidP="001B6BF1">
      <w:pPr>
        <w:spacing w:after="0" w:line="240" w:lineRule="auto"/>
        <w:jc w:val="both"/>
      </w:pPr>
      <w:r>
        <w:t>Retired Officers of other Public Sector Bank.</w:t>
      </w:r>
    </w:p>
    <w:p w:rsidR="00A41AB7" w:rsidRDefault="00A41AB7" w:rsidP="001B6BF1">
      <w:pPr>
        <w:spacing w:after="0" w:line="240" w:lineRule="auto"/>
        <w:jc w:val="both"/>
        <w:rPr>
          <w:u w:val="single"/>
        </w:rPr>
      </w:pPr>
      <w:r w:rsidRPr="00A41AB7">
        <w:rPr>
          <w:u w:val="single"/>
        </w:rPr>
        <w:t>Scope of Assignment:-</w:t>
      </w:r>
    </w:p>
    <w:p w:rsidR="00A41AB7" w:rsidRDefault="00A41AB7" w:rsidP="001B6BF1">
      <w:pPr>
        <w:spacing w:after="0" w:line="240" w:lineRule="auto"/>
        <w:jc w:val="both"/>
      </w:pPr>
      <w:r>
        <w:t>The recovery agents shall report to Regional Manager(through the Recovery In-charge) who shall assign the Branches and the NPA accounts to be recovered.  The scope of work of Recovery Agent shall mainly include the following:-</w:t>
      </w:r>
    </w:p>
    <w:p w:rsidR="00A41AB7" w:rsidRDefault="00A41AB7" w:rsidP="001B6BF1">
      <w:pPr>
        <w:spacing w:after="0" w:line="240" w:lineRule="auto"/>
        <w:jc w:val="both"/>
      </w:pPr>
      <w:r>
        <w:t>Concentrate their operations to the accounts allotted to them by the respective Regional Heads;</w:t>
      </w:r>
    </w:p>
    <w:p w:rsidR="00A41AB7" w:rsidRDefault="00A41AB7" w:rsidP="001B6BF1">
      <w:pPr>
        <w:spacing w:after="0" w:line="240" w:lineRule="auto"/>
        <w:jc w:val="both"/>
      </w:pPr>
      <w:r>
        <w:t>Contacting the borrowers personally/telephonically for recoveries;</w:t>
      </w:r>
    </w:p>
    <w:p w:rsidR="00A41AB7" w:rsidRDefault="00A41AB7" w:rsidP="001B6BF1">
      <w:pPr>
        <w:spacing w:after="0" w:line="240" w:lineRule="auto"/>
        <w:jc w:val="both"/>
      </w:pPr>
      <w:r>
        <w:t>Motivating and encouraging the borrowers in settlement of low value NPAs;</w:t>
      </w:r>
    </w:p>
    <w:p w:rsidR="00A41AB7" w:rsidRDefault="00A41AB7" w:rsidP="001B6BF1">
      <w:pPr>
        <w:spacing w:after="0" w:line="240" w:lineRule="auto"/>
        <w:jc w:val="both"/>
      </w:pPr>
      <w:r>
        <w:t>Strictly follow the guidelines on Recovery of NPAs issued by the Bank from time to time;</w:t>
      </w:r>
    </w:p>
    <w:p w:rsidR="00A41AB7" w:rsidRDefault="00A41AB7" w:rsidP="001B6BF1">
      <w:pPr>
        <w:spacing w:after="0" w:line="240" w:lineRule="auto"/>
        <w:jc w:val="both"/>
      </w:pPr>
      <w:r>
        <w:t>The actions of the Recovery Agents should not be detrimental to the interest of the Bank.</w:t>
      </w:r>
    </w:p>
    <w:p w:rsidR="00A41AB7" w:rsidRDefault="00A41AB7" w:rsidP="001B6BF1">
      <w:pPr>
        <w:spacing w:after="0" w:line="240" w:lineRule="auto"/>
        <w:jc w:val="both"/>
      </w:pPr>
      <w:r>
        <w:t>The Recovery Agents shall adhere strictly to the guidelines issued by the Bank/Reserve Bank of India/Banking Code and Standards Board of India(BCSBI) from time to time in the process of recovery.</w:t>
      </w:r>
    </w:p>
    <w:p w:rsidR="001B6BF1" w:rsidRPr="001B6BF1" w:rsidRDefault="001B6BF1" w:rsidP="001B6BF1">
      <w:pPr>
        <w:spacing w:after="0" w:line="240" w:lineRule="auto"/>
        <w:jc w:val="both"/>
        <w:rPr>
          <w:u w:val="single"/>
        </w:rPr>
      </w:pPr>
      <w:r w:rsidRPr="001B6BF1">
        <w:rPr>
          <w:u w:val="single"/>
        </w:rPr>
        <w:t>Payment of commission:-</w:t>
      </w:r>
    </w:p>
    <w:p w:rsidR="00A41AB7" w:rsidRDefault="001B6BF1" w:rsidP="001B6BF1">
      <w:pPr>
        <w:pStyle w:val="ListParagraph"/>
        <w:numPr>
          <w:ilvl w:val="0"/>
          <w:numId w:val="13"/>
        </w:numPr>
        <w:spacing w:after="0" w:line="240" w:lineRule="auto"/>
        <w:jc w:val="both"/>
      </w:pPr>
      <w:r w:rsidRPr="001B6BF1">
        <w:rPr>
          <w:u w:val="single"/>
        </w:rPr>
        <w:t>For Doubtful Assets(DA-2 DA-3 only</w:t>
      </w:r>
      <w:r>
        <w:t>):-</w:t>
      </w:r>
    </w:p>
    <w:p w:rsidR="001B6BF1" w:rsidRDefault="001B6BF1" w:rsidP="001B6BF1">
      <w:pPr>
        <w:spacing w:after="0" w:line="240" w:lineRule="auto"/>
        <w:jc w:val="both"/>
      </w:pPr>
      <w:r>
        <w:t>Particulars:</w:t>
      </w:r>
      <w:r>
        <w:tab/>
      </w:r>
      <w:r>
        <w:tab/>
      </w:r>
      <w:r>
        <w:tab/>
        <w:t>Rate of /commission</w:t>
      </w:r>
    </w:p>
    <w:p w:rsidR="001B6BF1" w:rsidRDefault="001B6BF1" w:rsidP="001B6BF1">
      <w:pPr>
        <w:spacing w:after="0" w:line="240" w:lineRule="auto"/>
        <w:jc w:val="both"/>
      </w:pPr>
      <w:r>
        <w:t>Recovery up to 2 lakhs</w:t>
      </w:r>
      <w:r>
        <w:tab/>
      </w:r>
      <w:r>
        <w:tab/>
        <w:t>3% of amount recovered</w:t>
      </w:r>
    </w:p>
    <w:p w:rsidR="001B6BF1" w:rsidRDefault="001B6BF1" w:rsidP="001B6BF1">
      <w:pPr>
        <w:spacing w:after="0" w:line="240" w:lineRule="auto"/>
        <w:jc w:val="both"/>
      </w:pPr>
      <w:r>
        <w:t>Above 2.00 lakhs</w:t>
      </w:r>
      <w:r>
        <w:tab/>
      </w:r>
      <w:r>
        <w:tab/>
        <w:t>6000/-for the first 2.00lakh recovery plus 4%(ie added incentive of 1%)</w:t>
      </w:r>
    </w:p>
    <w:p w:rsidR="001B6BF1" w:rsidRDefault="001B6BF1" w:rsidP="001B6BF1">
      <w:pPr>
        <w:spacing w:after="0" w:line="240" w:lineRule="auto"/>
        <w:jc w:val="both"/>
      </w:pPr>
      <w:r>
        <w:tab/>
      </w:r>
      <w:r>
        <w:tab/>
      </w:r>
      <w:r>
        <w:tab/>
      </w:r>
      <w:r>
        <w:tab/>
        <w:t>Of balance amount</w:t>
      </w:r>
    </w:p>
    <w:p w:rsidR="008A531C" w:rsidRPr="001B6BF1" w:rsidRDefault="001B6BF1" w:rsidP="001B6BF1">
      <w:pPr>
        <w:pStyle w:val="ListParagraph"/>
        <w:numPr>
          <w:ilvl w:val="0"/>
          <w:numId w:val="13"/>
        </w:numPr>
        <w:spacing w:after="0" w:line="240" w:lineRule="auto"/>
        <w:jc w:val="both"/>
        <w:rPr>
          <w:noProof/>
          <w:u w:val="single"/>
          <w:lang w:bidi="as-IN"/>
        </w:rPr>
      </w:pPr>
      <w:r w:rsidRPr="001B6BF1">
        <w:rPr>
          <w:u w:val="single"/>
        </w:rPr>
        <w:t>For Loss Assets/AUC account:-</w:t>
      </w:r>
    </w:p>
    <w:p w:rsidR="001B6BF1" w:rsidRDefault="001B6BF1" w:rsidP="001B6BF1">
      <w:pPr>
        <w:spacing w:after="0" w:line="240" w:lineRule="auto"/>
        <w:jc w:val="both"/>
        <w:rPr>
          <w:noProof/>
          <w:lang w:bidi="as-IN"/>
        </w:rPr>
      </w:pPr>
      <w:r>
        <w:rPr>
          <w:noProof/>
          <w:lang w:bidi="as-IN"/>
        </w:rPr>
        <w:t>Recovery upto 2 lakhs</w:t>
      </w:r>
      <w:r>
        <w:rPr>
          <w:noProof/>
          <w:lang w:bidi="as-IN"/>
        </w:rPr>
        <w:tab/>
      </w:r>
      <w:r>
        <w:rPr>
          <w:noProof/>
          <w:lang w:bidi="as-IN"/>
        </w:rPr>
        <w:tab/>
        <w:t>5% of amount recovered</w:t>
      </w:r>
    </w:p>
    <w:p w:rsidR="001B6BF1" w:rsidRDefault="001B6BF1" w:rsidP="001B6BF1">
      <w:pPr>
        <w:spacing w:after="0" w:line="240" w:lineRule="auto"/>
        <w:jc w:val="both"/>
        <w:rPr>
          <w:noProof/>
          <w:lang w:bidi="as-IN"/>
        </w:rPr>
      </w:pPr>
      <w:r>
        <w:rPr>
          <w:noProof/>
          <w:lang w:bidi="as-IN"/>
        </w:rPr>
        <w:t>Above 2.00 lakhs</w:t>
      </w:r>
      <w:r>
        <w:rPr>
          <w:noProof/>
          <w:lang w:bidi="as-IN"/>
        </w:rPr>
        <w:tab/>
      </w:r>
      <w:r>
        <w:rPr>
          <w:noProof/>
          <w:lang w:bidi="as-IN"/>
        </w:rPr>
        <w:tab/>
        <w:t xml:space="preserve">10,000/- for the first 2.00 lakh recovery plus 6%(i.e.added incentive of  </w:t>
      </w:r>
    </w:p>
    <w:p w:rsidR="001B6BF1" w:rsidRDefault="001B6BF1" w:rsidP="001B6BF1">
      <w:pPr>
        <w:spacing w:after="0" w:line="240" w:lineRule="auto"/>
        <w:ind w:left="2160" w:firstLine="720"/>
        <w:jc w:val="both"/>
        <w:rPr>
          <w:noProof/>
          <w:lang w:bidi="as-IN"/>
        </w:rPr>
      </w:pPr>
      <w:r>
        <w:rPr>
          <w:noProof/>
          <w:lang w:bidi="as-IN"/>
        </w:rPr>
        <w:t>1%)on balance amount.</w:t>
      </w:r>
    </w:p>
    <w:p w:rsidR="001B6BF1" w:rsidRDefault="001B6BF1" w:rsidP="001B6BF1">
      <w:pPr>
        <w:spacing w:after="0" w:line="240" w:lineRule="auto"/>
        <w:jc w:val="both"/>
        <w:rPr>
          <w:noProof/>
          <w:lang w:bidi="as-IN"/>
        </w:rPr>
      </w:pPr>
      <w:r>
        <w:rPr>
          <w:noProof/>
          <w:lang w:bidi="as-IN"/>
        </w:rPr>
        <w:lastRenderedPageBreak/>
        <w:t>We request you to intimate your members abount the scheme and advise the interested persons to approach our nearest Branch for further details.</w:t>
      </w:r>
    </w:p>
    <w:p w:rsidR="001B6BF1" w:rsidRDefault="001B6BF1" w:rsidP="001B6BF1">
      <w:pPr>
        <w:spacing w:after="0" w:line="240" w:lineRule="auto"/>
        <w:jc w:val="both"/>
        <w:rPr>
          <w:noProof/>
          <w:lang w:bidi="as-IN"/>
        </w:rPr>
      </w:pPr>
      <w:r>
        <w:rPr>
          <w:noProof/>
          <w:lang w:bidi="as-IN"/>
        </w:rPr>
        <w:t>Thanking you,</w:t>
      </w:r>
    </w:p>
    <w:p w:rsidR="001B6BF1" w:rsidRDefault="001B6BF1" w:rsidP="001B6BF1">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Yours faithfully,</w:t>
      </w:r>
    </w:p>
    <w:p w:rsidR="001B6BF1" w:rsidRDefault="001B6BF1" w:rsidP="001B6BF1">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Sd/-</w:t>
      </w:r>
    </w:p>
    <w:p w:rsidR="001B6BF1" w:rsidRDefault="001B6BF1" w:rsidP="001B6BF1">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(DGM)</w:t>
      </w:r>
    </w:p>
    <w:p w:rsidR="001B6BF1" w:rsidRDefault="001B6BF1" w:rsidP="001B6BF1">
      <w:pPr>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p>
    <w:p w:rsidR="008A531C" w:rsidRDefault="008A531C">
      <w:pPr>
        <w:rPr>
          <w:noProof/>
          <w:u w:val="single"/>
          <w:lang w:bidi="as-IN"/>
        </w:rPr>
      </w:pPr>
      <w:r w:rsidRPr="008A531C">
        <w:rPr>
          <w:noProof/>
          <w:u w:val="single"/>
          <w:lang w:bidi="as-IN"/>
        </w:rPr>
        <w:t>MADRAS HIGH COURT DECISION IN 100% DA NEUTRALISTION</w:t>
      </w:r>
      <w:r w:rsidR="001921A8">
        <w:rPr>
          <w:noProof/>
          <w:u w:val="single"/>
          <w:lang w:bidi="as-IN"/>
        </w:rPr>
        <w:t xml:space="preserve"> TO PRE NOVEMBER 2002 RETIREES</w:t>
      </w:r>
      <w:r w:rsidRPr="008A531C">
        <w:rPr>
          <w:noProof/>
          <w:u w:val="single"/>
          <w:lang w:bidi="as-IN"/>
        </w:rPr>
        <w:t>:-</w:t>
      </w:r>
    </w:p>
    <w:p w:rsidR="008A531C" w:rsidRDefault="008A531C" w:rsidP="008A531C">
      <w:pPr>
        <w:spacing w:after="0" w:line="240" w:lineRule="auto"/>
        <w:rPr>
          <w:noProof/>
          <w:lang w:bidi="as-IN"/>
        </w:rPr>
      </w:pPr>
      <w:r w:rsidRPr="008A531C">
        <w:rPr>
          <w:noProof/>
          <w:lang w:bidi="as-IN"/>
        </w:rPr>
        <w:t xml:space="preserve">We  reproduce Central Office Circular No.2012/1105 dated </w:t>
      </w:r>
      <w:r>
        <w:rPr>
          <w:noProof/>
          <w:lang w:bidi="as-IN"/>
        </w:rPr>
        <w:t>3</w:t>
      </w:r>
      <w:r w:rsidRPr="008A531C">
        <w:rPr>
          <w:noProof/>
          <w:lang w:bidi="as-IN"/>
        </w:rPr>
        <w:t>1-12-2012 which itself</w:t>
      </w:r>
      <w:r w:rsidR="001921A8">
        <w:rPr>
          <w:noProof/>
          <w:lang w:bidi="as-IN"/>
        </w:rPr>
        <w:t xml:space="preserve"> is</w:t>
      </w:r>
      <w:r w:rsidRPr="008A531C">
        <w:rPr>
          <w:noProof/>
          <w:lang w:bidi="as-IN"/>
        </w:rPr>
        <w:t xml:space="preserve"> expanatory</w:t>
      </w:r>
      <w:r>
        <w:rPr>
          <w:noProof/>
          <w:lang w:bidi="as-IN"/>
        </w:rPr>
        <w:t>.</w:t>
      </w:r>
    </w:p>
    <w:p w:rsidR="008A531C" w:rsidRDefault="008A531C" w:rsidP="008A531C">
      <w:pPr>
        <w:spacing w:after="0" w:line="240" w:lineRule="auto"/>
        <w:rPr>
          <w:noProof/>
          <w:lang w:bidi="as-IN"/>
        </w:rPr>
      </w:pPr>
    </w:p>
    <w:p w:rsidR="008A531C" w:rsidRDefault="008A531C" w:rsidP="008A531C">
      <w:pPr>
        <w:spacing w:after="0" w:line="240" w:lineRule="auto"/>
        <w:rPr>
          <w:noProof/>
          <w:lang w:bidi="as-IN"/>
        </w:rPr>
      </w:pPr>
      <w:r>
        <w:rPr>
          <w:noProof/>
          <w:lang w:bidi="as-IN"/>
        </w:rPr>
        <w:t>The Chairman,</w:t>
      </w:r>
    </w:p>
    <w:p w:rsidR="008A531C" w:rsidRDefault="008A531C" w:rsidP="008A531C">
      <w:pPr>
        <w:spacing w:after="0" w:line="240" w:lineRule="auto"/>
        <w:rPr>
          <w:noProof/>
          <w:lang w:bidi="as-IN"/>
        </w:rPr>
      </w:pPr>
      <w:r>
        <w:rPr>
          <w:noProof/>
          <w:lang w:bidi="as-IN"/>
        </w:rPr>
        <w:t>Indian Bank Association,</w:t>
      </w:r>
    </w:p>
    <w:p w:rsidR="008A531C" w:rsidRDefault="008A531C" w:rsidP="008A531C">
      <w:pPr>
        <w:spacing w:after="0" w:line="240" w:lineRule="auto"/>
        <w:rPr>
          <w:noProof/>
          <w:lang w:bidi="as-IN"/>
        </w:rPr>
      </w:pPr>
      <w:r>
        <w:rPr>
          <w:noProof/>
          <w:lang w:bidi="as-IN"/>
        </w:rPr>
        <w:t>Mumbai</w:t>
      </w:r>
    </w:p>
    <w:p w:rsidR="008A531C" w:rsidRDefault="008A531C" w:rsidP="008A531C">
      <w:pPr>
        <w:spacing w:after="0" w:line="240" w:lineRule="auto"/>
        <w:rPr>
          <w:noProof/>
          <w:lang w:bidi="as-IN"/>
        </w:rPr>
      </w:pPr>
    </w:p>
    <w:p w:rsidR="008A531C" w:rsidRDefault="008A531C" w:rsidP="008A531C">
      <w:pPr>
        <w:spacing w:after="0" w:line="240" w:lineRule="auto"/>
        <w:rPr>
          <w:noProof/>
          <w:lang w:bidi="as-IN"/>
        </w:rPr>
      </w:pPr>
      <w:r>
        <w:rPr>
          <w:noProof/>
          <w:lang w:bidi="as-IN"/>
        </w:rPr>
        <w:t>Dear Sir,</w:t>
      </w:r>
    </w:p>
    <w:p w:rsidR="008A531C" w:rsidRDefault="008A531C" w:rsidP="008A531C">
      <w:pPr>
        <w:spacing w:after="0" w:line="240" w:lineRule="auto"/>
        <w:rPr>
          <w:noProof/>
          <w:lang w:bidi="as-IN"/>
        </w:rPr>
      </w:pPr>
      <w:r>
        <w:rPr>
          <w:noProof/>
          <w:lang w:bidi="as-IN"/>
        </w:rPr>
        <w:t>Re:Madras High Court Decision on 100% DA Neutralisation to Pre November 2002 Retirees:-</w:t>
      </w:r>
    </w:p>
    <w:p w:rsidR="008A531C" w:rsidRDefault="008A531C" w:rsidP="008A531C">
      <w:pPr>
        <w:spacing w:after="0" w:line="240" w:lineRule="auto"/>
        <w:rPr>
          <w:noProof/>
          <w:lang w:bidi="as-IN"/>
        </w:rPr>
      </w:pPr>
    </w:p>
    <w:p w:rsidR="008A531C" w:rsidRDefault="008A531C" w:rsidP="00490E38">
      <w:pPr>
        <w:spacing w:after="0" w:line="240" w:lineRule="auto"/>
        <w:jc w:val="both"/>
        <w:rPr>
          <w:noProof/>
          <w:lang w:bidi="as-IN"/>
        </w:rPr>
      </w:pPr>
      <w:r>
        <w:rPr>
          <w:noProof/>
          <w:lang w:bidi="as-IN"/>
        </w:rPr>
        <w:t xml:space="preserve">We </w:t>
      </w:r>
      <w:r w:rsidR="001921A8">
        <w:rPr>
          <w:noProof/>
          <w:lang w:bidi="as-IN"/>
        </w:rPr>
        <w:t>wish</w:t>
      </w:r>
      <w:r>
        <w:rPr>
          <w:noProof/>
          <w:lang w:bidi="as-IN"/>
        </w:rPr>
        <w:t xml:space="preserve"> to invite your kind attention on Madras High Court decision dated 14-1</w:t>
      </w:r>
      <w:r w:rsidR="00490E38">
        <w:rPr>
          <w:noProof/>
          <w:lang w:bidi="as-IN"/>
        </w:rPr>
        <w:t>2-12 on Writ Petition No.5000 of 2006 and other W.Ps filed by 81 retirees of Canara Bank,Indian Overseas Bank and Bank of Baroda in the matter of payment of 100% DA neutralisation to pre-November 2002.  While delivering the judgement, the Court has directed the respondent banks to pay the dearness allowance at the revised rates as per the provisions of 8</w:t>
      </w:r>
      <w:r w:rsidR="00490E38" w:rsidRPr="00490E38">
        <w:rPr>
          <w:noProof/>
          <w:vertAlign w:val="superscript"/>
          <w:lang w:bidi="as-IN"/>
        </w:rPr>
        <w:t>th</w:t>
      </w:r>
      <w:r w:rsidR="00490E38">
        <w:rPr>
          <w:noProof/>
          <w:lang w:bidi="as-IN"/>
        </w:rPr>
        <w:t xml:space="preserve"> wage settlement to pre-November 2002 retirees with payment of arrear in this regard from the date fixed in the settlement.  The court has also stated in the judgement that this benefit should be made available to all similarly placed retirees.</w:t>
      </w:r>
    </w:p>
    <w:p w:rsidR="00490E38" w:rsidRDefault="00490E38" w:rsidP="00490E38">
      <w:pPr>
        <w:spacing w:after="0" w:line="240" w:lineRule="auto"/>
        <w:jc w:val="both"/>
        <w:rPr>
          <w:noProof/>
          <w:lang w:bidi="as-IN"/>
        </w:rPr>
      </w:pPr>
    </w:p>
    <w:p w:rsidR="00490E38" w:rsidRDefault="00490E38" w:rsidP="00490E38">
      <w:pPr>
        <w:spacing w:after="0" w:line="240" w:lineRule="auto"/>
        <w:jc w:val="both"/>
        <w:rPr>
          <w:noProof/>
          <w:lang w:bidi="as-IN"/>
        </w:rPr>
      </w:pPr>
      <w:r>
        <w:rPr>
          <w:noProof/>
          <w:lang w:bidi="as-IN"/>
        </w:rPr>
        <w:t>On going through the contents of the judgement, you will find that the court has pronounced the judgement on the following principles laid down by the Supreme Court in the matter of defined benefit pension scheme.</w:t>
      </w:r>
    </w:p>
    <w:p w:rsidR="00490E38" w:rsidRDefault="00490E38" w:rsidP="00490E38">
      <w:pPr>
        <w:spacing w:after="0" w:line="240" w:lineRule="auto"/>
        <w:jc w:val="both"/>
        <w:rPr>
          <w:noProof/>
          <w:lang w:bidi="as-IN"/>
        </w:rPr>
      </w:pPr>
    </w:p>
    <w:p w:rsidR="00490E38" w:rsidRDefault="00490E38" w:rsidP="00490E38">
      <w:pPr>
        <w:pStyle w:val="ListParagraph"/>
        <w:numPr>
          <w:ilvl w:val="0"/>
          <w:numId w:val="12"/>
        </w:numPr>
        <w:spacing w:after="0" w:line="240" w:lineRule="auto"/>
        <w:jc w:val="both"/>
        <w:rPr>
          <w:noProof/>
          <w:lang w:bidi="as-IN"/>
        </w:rPr>
      </w:pPr>
      <w:r>
        <w:rPr>
          <w:noProof/>
          <w:lang w:bidi="as-IN"/>
        </w:rPr>
        <w:t>In famous case of Nakara V/s Union Bank of India, the constitutional bench of Supreme Court has laid down the principle that any inprovement made in the existing pension scheme, the benefits have to extended to the existing retirees too.</w:t>
      </w:r>
    </w:p>
    <w:p w:rsidR="00490E38" w:rsidRDefault="00490E38" w:rsidP="00490E38">
      <w:pPr>
        <w:spacing w:after="0" w:line="240" w:lineRule="auto"/>
        <w:ind w:left="360"/>
        <w:jc w:val="both"/>
        <w:rPr>
          <w:noProof/>
          <w:lang w:bidi="as-IN"/>
        </w:rPr>
      </w:pPr>
    </w:p>
    <w:p w:rsidR="00490E38" w:rsidRDefault="00490E38" w:rsidP="00490E38">
      <w:pPr>
        <w:pStyle w:val="ListParagraph"/>
        <w:numPr>
          <w:ilvl w:val="0"/>
          <w:numId w:val="12"/>
        </w:numPr>
        <w:spacing w:after="0" w:line="240" w:lineRule="auto"/>
        <w:jc w:val="both"/>
        <w:rPr>
          <w:noProof/>
          <w:lang w:bidi="as-IN"/>
        </w:rPr>
      </w:pPr>
      <w:r>
        <w:rPr>
          <w:noProof/>
          <w:lang w:bidi="as-IN"/>
        </w:rPr>
        <w:t>Inflation data as measured by All India Consumer Price Index affects all retirees alike.  Therefore benefit of improved formula can not be restricted to a section of retirees.  It will amount to creation of class within the class and such artificial division is not permissible under the law.</w:t>
      </w:r>
    </w:p>
    <w:p w:rsidR="00490E38" w:rsidRDefault="00490E38" w:rsidP="00490E38">
      <w:pPr>
        <w:spacing w:after="0" w:line="240" w:lineRule="auto"/>
        <w:jc w:val="both"/>
        <w:rPr>
          <w:noProof/>
          <w:lang w:bidi="as-IN"/>
        </w:rPr>
      </w:pPr>
    </w:p>
    <w:p w:rsidR="00490E38" w:rsidRDefault="00490E38" w:rsidP="00490E38">
      <w:pPr>
        <w:spacing w:after="0" w:line="240" w:lineRule="auto"/>
        <w:jc w:val="both"/>
        <w:rPr>
          <w:noProof/>
          <w:lang w:bidi="as-IN"/>
        </w:rPr>
      </w:pPr>
      <w:r>
        <w:rPr>
          <w:noProof/>
          <w:lang w:bidi="as-IN"/>
        </w:rPr>
        <w:t>You will kindly observe the Madras High Court Decision is based on sound principles of law as laid down by the Supreme Court in the past.  We therefore request you to advise member banks to implement the decision and pass on the benefits to all affected retirees.</w:t>
      </w:r>
    </w:p>
    <w:p w:rsidR="00490E38" w:rsidRDefault="00490E38" w:rsidP="00490E38">
      <w:pPr>
        <w:spacing w:after="0" w:line="240" w:lineRule="auto"/>
        <w:jc w:val="both"/>
        <w:rPr>
          <w:noProof/>
          <w:lang w:bidi="as-IN"/>
        </w:rPr>
      </w:pPr>
    </w:p>
    <w:p w:rsidR="00490E38" w:rsidRDefault="00490E38" w:rsidP="00490E38">
      <w:pPr>
        <w:spacing w:after="0" w:line="240" w:lineRule="auto"/>
        <w:jc w:val="both"/>
        <w:rPr>
          <w:noProof/>
          <w:lang w:bidi="as-IN"/>
        </w:rPr>
      </w:pPr>
      <w:r>
        <w:rPr>
          <w:noProof/>
          <w:lang w:bidi="as-IN"/>
        </w:rPr>
        <w:t>At this juncture we may mention that in the year 2009, Supreme Court had delivered judgement on the writ peition filed by retirees of 5 banks, asking banks to pass on benefit of notional service under regulations no 29 of the pension regulations.  IBA had taken very pragmatic view on this judgement and asked member banks to pass on the benefit to all affected</w:t>
      </w:r>
      <w:r w:rsidR="005D1B1C">
        <w:rPr>
          <w:noProof/>
          <w:lang w:bidi="as-IN"/>
        </w:rPr>
        <w:t xml:space="preserve"> retirees.  We are sure that IBA would take similar stand on Madras High Court decision and give similar nature of advice to member banks.</w:t>
      </w:r>
    </w:p>
    <w:p w:rsidR="005D1B1C" w:rsidRDefault="005D1B1C" w:rsidP="00490E38">
      <w:pPr>
        <w:spacing w:after="0" w:line="240" w:lineRule="auto"/>
        <w:jc w:val="both"/>
        <w:rPr>
          <w:noProof/>
          <w:lang w:bidi="as-IN"/>
        </w:rPr>
      </w:pPr>
    </w:p>
    <w:p w:rsidR="005D1B1C" w:rsidRDefault="005D1B1C" w:rsidP="00490E38">
      <w:pPr>
        <w:spacing w:after="0" w:line="240" w:lineRule="auto"/>
        <w:jc w:val="both"/>
        <w:rPr>
          <w:noProof/>
          <w:lang w:bidi="as-IN"/>
        </w:rPr>
      </w:pPr>
      <w:r>
        <w:rPr>
          <w:noProof/>
          <w:lang w:bidi="as-IN"/>
        </w:rPr>
        <w:t xml:space="preserve">Here we would also like to draw your kind attention on Litigation policy of Government of India which stipulates that if decisions are based on certain laid down principles of law laid down by the Supreme </w:t>
      </w:r>
      <w:r>
        <w:rPr>
          <w:noProof/>
          <w:lang w:bidi="as-IN"/>
        </w:rPr>
        <w:lastRenderedPageBreak/>
        <w:t>Court, appeal against the judgement should be avoided.  In this case the affected people are senior citizens of the country.  We are sure IBA would take pragmatic view and avoid harship to senior citizens.</w:t>
      </w:r>
    </w:p>
    <w:p w:rsidR="005D1B1C" w:rsidRDefault="005D1B1C" w:rsidP="00490E38">
      <w:pPr>
        <w:spacing w:after="0" w:line="240" w:lineRule="auto"/>
        <w:jc w:val="both"/>
        <w:rPr>
          <w:noProof/>
          <w:lang w:bidi="as-IN"/>
        </w:rPr>
      </w:pPr>
    </w:p>
    <w:p w:rsidR="005D1B1C" w:rsidRDefault="005D1B1C" w:rsidP="00490E38">
      <w:pPr>
        <w:spacing w:after="0" w:line="240" w:lineRule="auto"/>
        <w:jc w:val="both"/>
        <w:rPr>
          <w:noProof/>
          <w:lang w:bidi="as-IN"/>
        </w:rPr>
      </w:pPr>
      <w:r>
        <w:rPr>
          <w:noProof/>
          <w:lang w:bidi="as-IN"/>
        </w:rPr>
        <w:t>With respectful regards,</w:t>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Yours faithfully</w:t>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Sd/-</w:t>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(S.C.JAIN)</w:t>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GENERAL SECRETARY</w:t>
      </w:r>
      <w:r>
        <w:rPr>
          <w:noProof/>
          <w:lang w:bidi="as-IN"/>
        </w:rPr>
        <w:tab/>
      </w:r>
    </w:p>
    <w:p w:rsidR="005D1B1C" w:rsidRDefault="005D1B1C" w:rsidP="00490E38">
      <w:pPr>
        <w:spacing w:after="0" w:line="240" w:lineRule="auto"/>
        <w:jc w:val="both"/>
        <w:rPr>
          <w:noProof/>
          <w:lang w:bidi="as-IN"/>
        </w:rPr>
      </w:pPr>
    </w:p>
    <w:p w:rsidR="005D1B1C" w:rsidRPr="005D1B1C" w:rsidRDefault="005D1B1C" w:rsidP="00490E38">
      <w:pPr>
        <w:spacing w:after="0" w:line="240" w:lineRule="auto"/>
        <w:jc w:val="both"/>
        <w:rPr>
          <w:noProof/>
          <w:u w:val="single"/>
          <w:lang w:bidi="as-IN"/>
        </w:rPr>
      </w:pPr>
      <w:r w:rsidRPr="005D1B1C">
        <w:rPr>
          <w:noProof/>
          <w:u w:val="single"/>
          <w:lang w:bidi="as-IN"/>
        </w:rPr>
        <w:t>1616-1684 Case Pending in the Supreme Court:-</w:t>
      </w:r>
    </w:p>
    <w:p w:rsidR="005D1B1C" w:rsidRDefault="005D1B1C" w:rsidP="00490E38">
      <w:pPr>
        <w:spacing w:after="0" w:line="240" w:lineRule="auto"/>
        <w:jc w:val="both"/>
        <w:rPr>
          <w:noProof/>
          <w:lang w:bidi="as-IN"/>
        </w:rPr>
      </w:pPr>
    </w:p>
    <w:p w:rsidR="005D1B1C" w:rsidRDefault="005D1B1C" w:rsidP="00490E38">
      <w:pPr>
        <w:spacing w:after="0" w:line="240" w:lineRule="auto"/>
        <w:jc w:val="both"/>
        <w:rPr>
          <w:noProof/>
          <w:lang w:bidi="as-IN"/>
        </w:rPr>
      </w:pPr>
      <w:r>
        <w:rPr>
          <w:noProof/>
          <w:lang w:bidi="as-IN"/>
        </w:rPr>
        <w:t>The above case is pending in the Supreme Court for final disposal. As you know this case relates to payment of arrear of pension difference and payment of commutation difference to ab</w:t>
      </w:r>
      <w:r w:rsidR="001921A8">
        <w:rPr>
          <w:noProof/>
          <w:lang w:bidi="as-IN"/>
        </w:rPr>
        <w:t>out</w:t>
      </w:r>
      <w:r>
        <w:rPr>
          <w:noProof/>
          <w:lang w:bidi="as-IN"/>
        </w:rPr>
        <w:t xml:space="preserve"> 1 lakh retirees who retired between 1998 to 2002. 7</w:t>
      </w:r>
      <w:r w:rsidRPr="005D1B1C">
        <w:rPr>
          <w:noProof/>
          <w:vertAlign w:val="superscript"/>
          <w:lang w:bidi="as-IN"/>
        </w:rPr>
        <w:t>th</w:t>
      </w:r>
      <w:r>
        <w:rPr>
          <w:noProof/>
          <w:lang w:bidi="as-IN"/>
        </w:rPr>
        <w:t xml:space="preserve"> wage settlement fixed pension of those retired after 1998 on index of 1616 while pay of employees were fixed on index of 1684.  This resulted in fixation of pension at about 42 percent of pay instead of 50% provided in the pension regulations.  This position was corrected under 8</w:t>
      </w:r>
      <w:r w:rsidRPr="005D1B1C">
        <w:rPr>
          <w:noProof/>
          <w:vertAlign w:val="superscript"/>
          <w:lang w:bidi="as-IN"/>
        </w:rPr>
        <w:t>th</w:t>
      </w:r>
      <w:r>
        <w:rPr>
          <w:noProof/>
          <w:lang w:bidi="as-IN"/>
        </w:rPr>
        <w:t xml:space="preserve"> settlement and the pension was restored to 50%.  However the arrears were paid with effect from 01-05-2005 instead from the date of retirement.  The amount involved in arrear payment on this issue is fairly large running into several crores.</w:t>
      </w:r>
    </w:p>
    <w:p w:rsidR="005D1B1C" w:rsidRDefault="005D1B1C" w:rsidP="00490E38">
      <w:pPr>
        <w:spacing w:after="0" w:line="240" w:lineRule="auto"/>
        <w:jc w:val="both"/>
        <w:rPr>
          <w:noProof/>
          <w:lang w:bidi="as-IN"/>
        </w:rPr>
      </w:pPr>
    </w:p>
    <w:p w:rsidR="005D1B1C" w:rsidRDefault="005D1B1C" w:rsidP="00490E38">
      <w:pPr>
        <w:spacing w:after="0" w:line="240" w:lineRule="auto"/>
        <w:jc w:val="both"/>
        <w:rPr>
          <w:noProof/>
          <w:lang w:bidi="as-IN"/>
        </w:rPr>
      </w:pPr>
      <w:r>
        <w:rPr>
          <w:noProof/>
          <w:lang w:bidi="as-IN"/>
        </w:rPr>
        <w:t>In view of huge financial interest of retirees involved and government/IBA decision was ab-initio illegal and contrary to the provisions of settlement many individuals and organisations approached to the courts for justice.  High Court have given decision in favour of retirees.  But the bank management/IBA have filed SLPs in the Supreme Court.  SLP filled by Bank of Baroda Management and subsequently joined by IBA is likely to be heard in the coming days.  Many other petitions filed by retirees of other bank like Canara Bank, SBM etc are getting tagged with Bank of Baroda case for final hearing.  We understand that about 750 petitioners are involved in this case.</w:t>
      </w:r>
    </w:p>
    <w:p w:rsidR="005D1B1C" w:rsidRDefault="005D1B1C" w:rsidP="00490E38">
      <w:pPr>
        <w:spacing w:after="0" w:line="240" w:lineRule="auto"/>
        <w:jc w:val="both"/>
        <w:rPr>
          <w:noProof/>
          <w:lang w:bidi="as-IN"/>
        </w:rPr>
      </w:pPr>
    </w:p>
    <w:p w:rsidR="0094280B" w:rsidRDefault="005D1B1C" w:rsidP="00490E38">
      <w:pPr>
        <w:spacing w:after="0" w:line="240" w:lineRule="auto"/>
        <w:jc w:val="both"/>
        <w:rPr>
          <w:noProof/>
          <w:lang w:bidi="as-IN"/>
        </w:rPr>
      </w:pPr>
      <w:r>
        <w:rPr>
          <w:noProof/>
          <w:lang w:bidi="as-IN"/>
        </w:rPr>
        <w:t>Considering the huge financial benefits involved to large number of retirees and it is decided by AIBRF to</w:t>
      </w:r>
      <w:r w:rsidR="0094280B">
        <w:rPr>
          <w:noProof/>
          <w:lang w:bidi="as-IN"/>
        </w:rPr>
        <w:t xml:space="preserve"> coordinate the legal handling of the case at Supreme Court and pledge all support to our comrades who are fighting the case for the benefit of large number of retirees.  Any individual who want to join the SLP may contact us for guideance and support.</w:t>
      </w:r>
    </w:p>
    <w:p w:rsidR="0094280B" w:rsidRDefault="0094280B" w:rsidP="00490E38">
      <w:pPr>
        <w:spacing w:after="0" w:line="240" w:lineRule="auto"/>
        <w:jc w:val="both"/>
        <w:rPr>
          <w:noProof/>
          <w:lang w:bidi="as-IN"/>
        </w:rPr>
      </w:pPr>
    </w:p>
    <w:p w:rsidR="0094280B" w:rsidRDefault="0094280B" w:rsidP="00490E38">
      <w:pPr>
        <w:spacing w:after="0" w:line="240" w:lineRule="auto"/>
        <w:jc w:val="both"/>
        <w:rPr>
          <w:noProof/>
          <w:lang w:bidi="as-IN"/>
        </w:rPr>
      </w:pPr>
      <w:r>
        <w:rPr>
          <w:noProof/>
          <w:lang w:bidi="as-IN"/>
        </w:rPr>
        <w:t>Thanking you,</w:t>
      </w:r>
    </w:p>
    <w:p w:rsidR="0094280B" w:rsidRDefault="0094280B"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Yours Sincerely,</w:t>
      </w:r>
    </w:p>
    <w:p w:rsidR="0094280B" w:rsidRDefault="0094280B"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Sd/-</w:t>
      </w:r>
    </w:p>
    <w:p w:rsidR="0094280B" w:rsidRDefault="0094280B"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(S.C.JAIN)</w:t>
      </w:r>
    </w:p>
    <w:p w:rsidR="0094280B" w:rsidRDefault="0094280B"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GENERAL SECRETARY</w:t>
      </w:r>
    </w:p>
    <w:p w:rsidR="005C2DDD" w:rsidRDefault="005C2DDD" w:rsidP="00490E38">
      <w:pPr>
        <w:spacing w:after="0" w:line="240" w:lineRule="auto"/>
        <w:jc w:val="both"/>
        <w:rPr>
          <w:noProof/>
          <w:lang w:bidi="as-IN"/>
        </w:rPr>
      </w:pPr>
    </w:p>
    <w:p w:rsidR="005C2DDD" w:rsidRDefault="005C2DDD" w:rsidP="00490E38">
      <w:pPr>
        <w:spacing w:after="0" w:line="240" w:lineRule="auto"/>
        <w:jc w:val="both"/>
        <w:rPr>
          <w:noProof/>
          <w:lang w:bidi="as-IN"/>
        </w:rPr>
      </w:pPr>
      <w:r w:rsidRPr="005C2DDD">
        <w:rPr>
          <w:noProof/>
          <w:u w:val="single"/>
          <w:lang w:bidi="as-IN"/>
        </w:rPr>
        <w:t>REGIONAL CONFERENCE OF MYSORE CITY</w:t>
      </w:r>
      <w:r>
        <w:rPr>
          <w:noProof/>
          <w:lang w:bidi="as-IN"/>
        </w:rPr>
        <w:t>:-</w:t>
      </w:r>
    </w:p>
    <w:p w:rsidR="005C2DDD" w:rsidRDefault="005C2DDD" w:rsidP="00490E38">
      <w:pPr>
        <w:spacing w:after="0" w:line="240" w:lineRule="auto"/>
        <w:jc w:val="both"/>
        <w:rPr>
          <w:noProof/>
          <w:lang w:bidi="as-IN"/>
        </w:rPr>
      </w:pPr>
    </w:p>
    <w:p w:rsidR="005C2DDD" w:rsidRDefault="005C2DDD" w:rsidP="00490E38">
      <w:pPr>
        <w:spacing w:after="0" w:line="240" w:lineRule="auto"/>
        <w:jc w:val="both"/>
        <w:rPr>
          <w:noProof/>
          <w:lang w:bidi="as-IN"/>
        </w:rPr>
      </w:pPr>
      <w:r>
        <w:rPr>
          <w:noProof/>
          <w:lang w:bidi="as-IN"/>
        </w:rPr>
        <w:t>The Regional Conference of Vijaya Bank Retirees Association was held on 11-11-2012 at M.S.Hall Ideal Jave Rotary School, JLB Road, Mysore.</w:t>
      </w:r>
    </w:p>
    <w:p w:rsidR="005C2DDD" w:rsidRDefault="005C2DDD" w:rsidP="00490E38">
      <w:pPr>
        <w:spacing w:after="0" w:line="240" w:lineRule="auto"/>
        <w:jc w:val="both"/>
        <w:rPr>
          <w:noProof/>
          <w:lang w:bidi="as-IN"/>
        </w:rPr>
      </w:pPr>
      <w:r>
        <w:rPr>
          <w:noProof/>
          <w:lang w:bidi="as-IN"/>
        </w:rPr>
        <w:t>The following representatives stood elected in the Regional Conference:-</w:t>
      </w:r>
    </w:p>
    <w:p w:rsidR="005C2DDD" w:rsidRDefault="005C2DDD" w:rsidP="00490E38">
      <w:pPr>
        <w:spacing w:after="0" w:line="240" w:lineRule="auto"/>
        <w:jc w:val="both"/>
        <w:rPr>
          <w:noProof/>
          <w:lang w:bidi="as-IN"/>
        </w:rPr>
      </w:pPr>
    </w:p>
    <w:p w:rsidR="000954C2" w:rsidRDefault="000954C2" w:rsidP="00490E38">
      <w:pPr>
        <w:spacing w:after="0" w:line="240" w:lineRule="auto"/>
        <w:jc w:val="both"/>
        <w:rPr>
          <w:noProof/>
          <w:lang w:bidi="as-IN"/>
        </w:rPr>
      </w:pPr>
      <w:r>
        <w:rPr>
          <w:noProof/>
          <w:lang w:bidi="as-IN"/>
        </w:rPr>
        <w:t xml:space="preserve">Regional Predsident – Sri.Gundappa Gowda L.N, Vice President – Sri.T.Sudhakar Shetty and Sri.Mari Gowda.M.A, Secretary – Sri.N.S.Somanath, Joint Secretary – Sri.S.Jayarama Prasad, Sri.Bala Sundara and Sri.G.P.Diwakar, Treasurer – Sri.Ramachandra Urs, Committee Members – Sri.C.P.Vijayalakshmi, </w:t>
      </w:r>
      <w:r>
        <w:rPr>
          <w:noProof/>
          <w:lang w:bidi="as-IN"/>
        </w:rPr>
        <w:lastRenderedPageBreak/>
        <w:t>Sri.M.N.Jayaprakash, Sri.V.S.N.Aradhya, Sri.H.P.Damodhar, Sri.B.A.Puttaswamy, Sri.K.S.</w:t>
      </w:r>
      <w:r w:rsidR="00DE5825">
        <w:rPr>
          <w:noProof/>
          <w:lang w:bidi="as-IN"/>
        </w:rPr>
        <w:t>P</w:t>
      </w:r>
      <w:r>
        <w:rPr>
          <w:noProof/>
          <w:lang w:bidi="as-IN"/>
        </w:rPr>
        <w:t>ritham Nayak and Sri.V.R.Krishna Kumar, Special Invities – Sri.Neemiraja Shetty and Sri.Gopal Shetty.</w:t>
      </w:r>
    </w:p>
    <w:p w:rsidR="000954C2" w:rsidRDefault="000954C2" w:rsidP="00490E38">
      <w:pPr>
        <w:spacing w:after="0" w:line="240" w:lineRule="auto"/>
        <w:jc w:val="both"/>
        <w:rPr>
          <w:noProof/>
          <w:lang w:bidi="as-IN"/>
        </w:rPr>
      </w:pPr>
    </w:p>
    <w:p w:rsidR="000954C2" w:rsidRDefault="000954C2" w:rsidP="00490E38">
      <w:pPr>
        <w:spacing w:after="0" w:line="240" w:lineRule="auto"/>
        <w:jc w:val="both"/>
        <w:rPr>
          <w:noProof/>
          <w:lang w:bidi="as-IN"/>
        </w:rPr>
      </w:pPr>
    </w:p>
    <w:p w:rsidR="000954C2" w:rsidRDefault="000954C2" w:rsidP="00490E38">
      <w:pPr>
        <w:spacing w:after="0" w:line="240" w:lineRule="auto"/>
        <w:jc w:val="both"/>
        <w:rPr>
          <w:noProof/>
          <w:lang w:bidi="as-IN"/>
        </w:rPr>
      </w:pPr>
    </w:p>
    <w:p w:rsidR="000954C2" w:rsidRPr="009E1713" w:rsidRDefault="000954C2" w:rsidP="00490E38">
      <w:pPr>
        <w:spacing w:after="0" w:line="240" w:lineRule="auto"/>
        <w:jc w:val="both"/>
        <w:rPr>
          <w:noProof/>
          <w:u w:val="single"/>
          <w:lang w:bidi="as-IN"/>
        </w:rPr>
      </w:pPr>
      <w:r w:rsidRPr="009E1713">
        <w:rPr>
          <w:noProof/>
          <w:u w:val="single"/>
          <w:lang w:bidi="as-IN"/>
        </w:rPr>
        <w:t>GENERAL BODY:-</w:t>
      </w:r>
    </w:p>
    <w:p w:rsidR="000954C2" w:rsidRDefault="000954C2" w:rsidP="00490E38">
      <w:pPr>
        <w:spacing w:after="0" w:line="240" w:lineRule="auto"/>
        <w:jc w:val="both"/>
        <w:rPr>
          <w:noProof/>
          <w:lang w:bidi="as-IN"/>
        </w:rPr>
      </w:pPr>
      <w:r>
        <w:rPr>
          <w:noProof/>
          <w:lang w:bidi="as-IN"/>
        </w:rPr>
        <w:t>Our General Body meeting of the association will be held on Sunday the 17</w:t>
      </w:r>
      <w:r w:rsidRPr="000954C2">
        <w:rPr>
          <w:noProof/>
          <w:vertAlign w:val="superscript"/>
          <w:lang w:bidi="as-IN"/>
        </w:rPr>
        <w:t>th</w:t>
      </w:r>
      <w:r>
        <w:rPr>
          <w:noProof/>
          <w:lang w:bidi="as-IN"/>
        </w:rPr>
        <w:t xml:space="preserve"> March 2013 at Hotel Ajantha, M.G.Road, Bangalore.  The Notice of the General Body </w:t>
      </w:r>
      <w:r w:rsidR="00DE5825">
        <w:rPr>
          <w:noProof/>
          <w:lang w:bidi="as-IN"/>
        </w:rPr>
        <w:t>will be forwarded shortly</w:t>
      </w:r>
      <w:r>
        <w:rPr>
          <w:noProof/>
          <w:lang w:bidi="as-IN"/>
        </w:rPr>
        <w:t>.</w:t>
      </w:r>
      <w:r w:rsidR="009E1713">
        <w:rPr>
          <w:noProof/>
          <w:lang w:bidi="as-IN"/>
        </w:rPr>
        <w:t xml:space="preserve"> We have </w:t>
      </w:r>
      <w:r w:rsidR="00DE5825">
        <w:rPr>
          <w:noProof/>
          <w:lang w:bidi="as-IN"/>
        </w:rPr>
        <w:t>arranged</w:t>
      </w:r>
      <w:r w:rsidR="009E1713">
        <w:rPr>
          <w:noProof/>
          <w:lang w:bidi="as-IN"/>
        </w:rPr>
        <w:t xml:space="preserve"> an office at Bangalore</w:t>
      </w:r>
      <w:r w:rsidR="00DE5825">
        <w:rPr>
          <w:noProof/>
          <w:lang w:bidi="as-IN"/>
        </w:rPr>
        <w:t xml:space="preserve"> and</w:t>
      </w:r>
      <w:r w:rsidR="009E1713">
        <w:rPr>
          <w:noProof/>
          <w:lang w:bidi="as-IN"/>
        </w:rPr>
        <w:t xml:space="preserve"> the address</w:t>
      </w:r>
      <w:r w:rsidR="001921A8">
        <w:rPr>
          <w:noProof/>
          <w:lang w:bidi="as-IN"/>
        </w:rPr>
        <w:t xml:space="preserve"> is</w:t>
      </w:r>
      <w:r w:rsidR="009E1713">
        <w:rPr>
          <w:noProof/>
          <w:lang w:bidi="as-IN"/>
        </w:rPr>
        <w:t xml:space="preserve"> given below:-</w:t>
      </w:r>
    </w:p>
    <w:p w:rsidR="009E1713" w:rsidRDefault="009E1713" w:rsidP="00490E38">
      <w:pPr>
        <w:spacing w:after="0" w:line="240" w:lineRule="auto"/>
        <w:jc w:val="both"/>
        <w:rPr>
          <w:noProof/>
          <w:lang w:bidi="as-IN"/>
        </w:rPr>
      </w:pPr>
      <w:r>
        <w:rPr>
          <w:noProof/>
          <w:lang w:bidi="as-IN"/>
        </w:rPr>
        <w:t>No.89,Shell House, 3</w:t>
      </w:r>
      <w:r w:rsidRPr="009E1713">
        <w:rPr>
          <w:noProof/>
          <w:vertAlign w:val="superscript"/>
          <w:lang w:bidi="as-IN"/>
        </w:rPr>
        <w:t>rd</w:t>
      </w:r>
      <w:r>
        <w:rPr>
          <w:noProof/>
          <w:lang w:bidi="as-IN"/>
        </w:rPr>
        <w:t xml:space="preserve"> floor Roof Top, J.C.Road, Bangalore – 560 002. At present the office is shar</w:t>
      </w:r>
      <w:r w:rsidR="001921A8">
        <w:rPr>
          <w:noProof/>
          <w:lang w:bidi="as-IN"/>
        </w:rPr>
        <w:t>ed</w:t>
      </w:r>
      <w:r>
        <w:rPr>
          <w:noProof/>
          <w:lang w:bidi="as-IN"/>
        </w:rPr>
        <w:t xml:space="preserve"> with AIBRA Karnataka State Committee and Canara Bank Retirees Association. After the General Body we will have an Office at Bangalore</w:t>
      </w:r>
      <w:r w:rsidR="00DE5825">
        <w:rPr>
          <w:noProof/>
          <w:lang w:bidi="as-IN"/>
        </w:rPr>
        <w:t xml:space="preserve"> also</w:t>
      </w:r>
      <w:r>
        <w:rPr>
          <w:noProof/>
          <w:lang w:bidi="as-IN"/>
        </w:rPr>
        <w:t>.</w:t>
      </w:r>
    </w:p>
    <w:p w:rsidR="009E1713" w:rsidRDefault="009E1713" w:rsidP="00490E38">
      <w:pPr>
        <w:spacing w:after="0" w:line="240" w:lineRule="auto"/>
        <w:jc w:val="both"/>
        <w:rPr>
          <w:noProof/>
          <w:lang w:bidi="as-IN"/>
        </w:rPr>
      </w:pPr>
    </w:p>
    <w:p w:rsidR="009E1713" w:rsidRPr="009E1713" w:rsidRDefault="009E1713" w:rsidP="00490E38">
      <w:pPr>
        <w:spacing w:after="0" w:line="240" w:lineRule="auto"/>
        <w:jc w:val="both"/>
        <w:rPr>
          <w:noProof/>
          <w:u w:val="single"/>
          <w:lang w:bidi="as-IN"/>
        </w:rPr>
      </w:pPr>
      <w:r w:rsidRPr="009E1713">
        <w:rPr>
          <w:noProof/>
          <w:u w:val="single"/>
          <w:lang w:bidi="as-IN"/>
        </w:rPr>
        <w:t xml:space="preserve">Website: </w:t>
      </w:r>
    </w:p>
    <w:p w:rsidR="009E1713" w:rsidRDefault="009E1713" w:rsidP="00490E38">
      <w:pPr>
        <w:spacing w:after="0" w:line="240" w:lineRule="auto"/>
        <w:jc w:val="both"/>
        <w:rPr>
          <w:noProof/>
          <w:lang w:bidi="as-IN"/>
        </w:rPr>
      </w:pPr>
      <w:r>
        <w:rPr>
          <w:noProof/>
          <w:lang w:bidi="as-IN"/>
        </w:rPr>
        <w:t xml:space="preserve">We </w:t>
      </w:r>
      <w:r w:rsidR="00DE5825">
        <w:rPr>
          <w:noProof/>
          <w:lang w:bidi="as-IN"/>
        </w:rPr>
        <w:t>are in the process of</w:t>
      </w:r>
      <w:r>
        <w:rPr>
          <w:noProof/>
          <w:lang w:bidi="as-IN"/>
        </w:rPr>
        <w:t xml:space="preserve"> establish</w:t>
      </w:r>
      <w:r w:rsidR="00DE5825">
        <w:rPr>
          <w:noProof/>
          <w:lang w:bidi="as-IN"/>
        </w:rPr>
        <w:t>ing</w:t>
      </w:r>
      <w:r>
        <w:rPr>
          <w:noProof/>
          <w:lang w:bidi="as-IN"/>
        </w:rPr>
        <w:t xml:space="preserve"> a Website. The circulars and other details will be available in our website.</w:t>
      </w:r>
      <w:r w:rsidR="00DE5825">
        <w:rPr>
          <w:noProof/>
          <w:lang w:bidi="as-IN"/>
        </w:rPr>
        <w:t xml:space="preserve"> Once our Website is established, we wish to discontinue/reduce  the mailing of circulars. Even though we have informed our members that any of our members</w:t>
      </w:r>
      <w:r w:rsidR="001921A8">
        <w:rPr>
          <w:noProof/>
          <w:lang w:bidi="as-IN"/>
        </w:rPr>
        <w:t xml:space="preserve"> who</w:t>
      </w:r>
      <w:r w:rsidR="00DE5825">
        <w:rPr>
          <w:noProof/>
          <w:lang w:bidi="as-IN"/>
        </w:rPr>
        <w:t xml:space="preserve"> wish to get the copy of the circular, </w:t>
      </w:r>
      <w:r w:rsidR="001921A8">
        <w:rPr>
          <w:noProof/>
          <w:lang w:bidi="as-IN"/>
        </w:rPr>
        <w:t>will</w:t>
      </w:r>
      <w:r w:rsidR="00DE5825">
        <w:rPr>
          <w:noProof/>
          <w:lang w:bidi="as-IN"/>
        </w:rPr>
        <w:t xml:space="preserve"> have to inform the same to our Central Office with their staff code number</w:t>
      </w:r>
      <w:r w:rsidR="001921A8">
        <w:rPr>
          <w:noProof/>
          <w:lang w:bidi="as-IN"/>
        </w:rPr>
        <w:t>.</w:t>
      </w:r>
      <w:r w:rsidR="00DE5825">
        <w:rPr>
          <w:noProof/>
          <w:lang w:bidi="as-IN"/>
        </w:rPr>
        <w:t xml:space="preserve"> </w:t>
      </w:r>
      <w:r w:rsidR="001921A8">
        <w:rPr>
          <w:noProof/>
          <w:lang w:bidi="as-IN"/>
        </w:rPr>
        <w:t>S</w:t>
      </w:r>
      <w:r w:rsidR="00DE5825">
        <w:rPr>
          <w:noProof/>
          <w:lang w:bidi="as-IN"/>
        </w:rPr>
        <w:t>ofar we have received only very few letters. Please inform the information immediately.</w:t>
      </w:r>
    </w:p>
    <w:p w:rsidR="00DE5825" w:rsidRDefault="00DE5825" w:rsidP="00490E38">
      <w:pPr>
        <w:spacing w:after="0" w:line="240" w:lineRule="auto"/>
        <w:jc w:val="both"/>
        <w:rPr>
          <w:noProof/>
          <w:lang w:bidi="as-IN"/>
        </w:rPr>
      </w:pPr>
    </w:p>
    <w:p w:rsidR="009E1713" w:rsidRDefault="00DE5825" w:rsidP="00490E38">
      <w:pPr>
        <w:spacing w:after="0" w:line="240" w:lineRule="auto"/>
        <w:jc w:val="both"/>
        <w:rPr>
          <w:noProof/>
          <w:lang w:bidi="as-IN"/>
        </w:rPr>
      </w:pPr>
      <w:r>
        <w:rPr>
          <w:noProof/>
          <w:lang w:bidi="as-IN"/>
        </w:rPr>
        <w:t>For any details please visit AIBRF Website: http/www.aibrf.com</w:t>
      </w:r>
    </w:p>
    <w:p w:rsidR="00DE5825" w:rsidRDefault="00DE5825" w:rsidP="00490E38">
      <w:pPr>
        <w:spacing w:after="0" w:line="240" w:lineRule="auto"/>
        <w:jc w:val="both"/>
        <w:rPr>
          <w:noProof/>
          <w:lang w:bidi="as-IN"/>
        </w:rPr>
      </w:pPr>
    </w:p>
    <w:p w:rsidR="00DE5825" w:rsidRDefault="00DE5825" w:rsidP="00490E38">
      <w:pPr>
        <w:spacing w:after="0" w:line="240" w:lineRule="auto"/>
        <w:jc w:val="both"/>
        <w:rPr>
          <w:noProof/>
          <w:lang w:bidi="as-IN"/>
        </w:rPr>
      </w:pPr>
    </w:p>
    <w:p w:rsidR="00DE5825" w:rsidRDefault="00DE5825" w:rsidP="00490E38">
      <w:pPr>
        <w:spacing w:after="0" w:line="240" w:lineRule="auto"/>
        <w:jc w:val="both"/>
        <w:rPr>
          <w:noProof/>
          <w:lang w:bidi="as-IN"/>
        </w:rPr>
      </w:pPr>
      <w:r>
        <w:rPr>
          <w:noProof/>
          <w:lang w:bidi="as-IN"/>
        </w:rPr>
        <w:t>C.GOPINATHAN NAIR</w:t>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S.G.EMBRAN</w:t>
      </w:r>
    </w:p>
    <w:p w:rsidR="00DE5825" w:rsidRDefault="00DE5825" w:rsidP="00490E38">
      <w:pPr>
        <w:spacing w:after="0" w:line="240" w:lineRule="auto"/>
        <w:jc w:val="both"/>
        <w:rPr>
          <w:noProof/>
          <w:lang w:bidi="as-IN"/>
        </w:rPr>
      </w:pPr>
      <w:r>
        <w:rPr>
          <w:noProof/>
          <w:lang w:bidi="as-IN"/>
        </w:rPr>
        <w:t xml:space="preserve">       President                                                     </w:t>
      </w:r>
      <w:r>
        <w:rPr>
          <w:noProof/>
          <w:lang w:bidi="as-IN"/>
        </w:rPr>
        <w:tab/>
      </w:r>
      <w:r>
        <w:rPr>
          <w:noProof/>
          <w:lang w:bidi="as-IN"/>
        </w:rPr>
        <w:tab/>
      </w:r>
      <w:r>
        <w:rPr>
          <w:noProof/>
          <w:lang w:bidi="as-IN"/>
        </w:rPr>
        <w:tab/>
      </w:r>
      <w:r>
        <w:rPr>
          <w:noProof/>
          <w:lang w:bidi="as-IN"/>
        </w:rPr>
        <w:tab/>
        <w:t>Gen:Secretary</w:t>
      </w:r>
    </w:p>
    <w:p w:rsidR="009E1713" w:rsidRDefault="009E1713" w:rsidP="00490E38">
      <w:pPr>
        <w:spacing w:after="0" w:line="240" w:lineRule="auto"/>
        <w:jc w:val="both"/>
        <w:rPr>
          <w:noProof/>
          <w:lang w:bidi="as-IN"/>
        </w:rPr>
      </w:pPr>
    </w:p>
    <w:p w:rsidR="005D1B1C" w:rsidRDefault="0094280B"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EB454B" w:rsidRDefault="00EB454B" w:rsidP="00EB454B">
      <w:pPr>
        <w:spacing w:after="0" w:line="240" w:lineRule="auto"/>
        <w:jc w:val="center"/>
        <w:rPr>
          <w:b/>
          <w:sz w:val="48"/>
          <w:szCs w:val="48"/>
        </w:rPr>
      </w:pPr>
    </w:p>
    <w:p w:rsidR="00DE5825" w:rsidRPr="002F38C5" w:rsidRDefault="00DE5825" w:rsidP="00EB454B">
      <w:pPr>
        <w:spacing w:after="0" w:line="240" w:lineRule="auto"/>
        <w:jc w:val="center"/>
        <w:rPr>
          <w:b/>
          <w:sz w:val="48"/>
          <w:szCs w:val="48"/>
        </w:rPr>
      </w:pPr>
      <w:r w:rsidRPr="002F38C5">
        <w:rPr>
          <w:b/>
          <w:sz w:val="48"/>
          <w:szCs w:val="48"/>
        </w:rPr>
        <w:t>VIJAYA BANK RETIREES’ ASSOCIATION(Regd.)</w:t>
      </w:r>
    </w:p>
    <w:p w:rsidR="00DE5825" w:rsidRPr="002F38C5" w:rsidRDefault="00DE5825" w:rsidP="00DE5825">
      <w:pPr>
        <w:spacing w:after="0" w:line="240" w:lineRule="auto"/>
        <w:jc w:val="center"/>
        <w:rPr>
          <w:b/>
          <w:sz w:val="24"/>
          <w:szCs w:val="24"/>
        </w:rPr>
      </w:pPr>
      <w:r w:rsidRPr="002F38C5">
        <w:rPr>
          <w:b/>
          <w:sz w:val="24"/>
          <w:szCs w:val="24"/>
        </w:rPr>
        <w:t>(Affiliated to A.I.B.R.F.)</w:t>
      </w:r>
    </w:p>
    <w:p w:rsidR="00DE5825" w:rsidRPr="002F38C5" w:rsidRDefault="00DE5825" w:rsidP="00DE5825">
      <w:pPr>
        <w:tabs>
          <w:tab w:val="left" w:pos="1935"/>
        </w:tabs>
        <w:spacing w:after="0" w:line="240" w:lineRule="auto"/>
        <w:jc w:val="center"/>
        <w:rPr>
          <w:b/>
          <w:sz w:val="24"/>
          <w:szCs w:val="24"/>
        </w:rPr>
      </w:pPr>
      <w:r w:rsidRPr="002F38C5">
        <w:rPr>
          <w:b/>
          <w:sz w:val="24"/>
          <w:szCs w:val="24"/>
        </w:rPr>
        <w:t>CENTRAL OFFICE</w:t>
      </w:r>
    </w:p>
    <w:p w:rsidR="00DE5825" w:rsidRPr="002F38C5" w:rsidRDefault="00DE5825" w:rsidP="00DE5825">
      <w:pPr>
        <w:spacing w:after="0" w:line="240" w:lineRule="auto"/>
        <w:jc w:val="center"/>
        <w:rPr>
          <w:b/>
          <w:sz w:val="24"/>
          <w:szCs w:val="24"/>
        </w:rPr>
      </w:pPr>
      <w:r w:rsidRPr="002F38C5">
        <w:rPr>
          <w:b/>
          <w:sz w:val="24"/>
          <w:szCs w:val="24"/>
        </w:rPr>
        <w:t>TKV MEMORIAL, P.B.NO.3673, COLLEGE P.O. MAHAKAVI BHARATHIYAR ROAD,</w:t>
      </w:r>
    </w:p>
    <w:p w:rsidR="00DE5825" w:rsidRDefault="00DE5825" w:rsidP="00DE5825">
      <w:pPr>
        <w:spacing w:after="0" w:line="240" w:lineRule="auto"/>
        <w:jc w:val="center"/>
        <w:rPr>
          <w:b/>
          <w:sz w:val="24"/>
          <w:szCs w:val="24"/>
        </w:rPr>
      </w:pPr>
      <w:r w:rsidRPr="002F38C5">
        <w:rPr>
          <w:b/>
          <w:sz w:val="24"/>
          <w:szCs w:val="24"/>
        </w:rPr>
        <w:t>NEAR K.S.R.T.C. BUS STAND, KOCHI – 682 035</w:t>
      </w:r>
    </w:p>
    <w:p w:rsidR="00DE5825" w:rsidRPr="002F38C5" w:rsidRDefault="00DE5825" w:rsidP="00DE5825">
      <w:pPr>
        <w:pBdr>
          <w:bottom w:val="single" w:sz="4" w:space="1" w:color="auto"/>
        </w:pBdr>
        <w:spacing w:after="0" w:line="240" w:lineRule="auto"/>
        <w:jc w:val="center"/>
        <w:rPr>
          <w:sz w:val="24"/>
          <w:szCs w:val="24"/>
        </w:rPr>
      </w:pPr>
    </w:p>
    <w:p w:rsidR="00DE5825" w:rsidRDefault="00DE5825" w:rsidP="00DE5825"/>
    <w:p w:rsidR="00DE5825" w:rsidRDefault="00DE5825" w:rsidP="00DE5825">
      <w:pPr>
        <w:jc w:val="center"/>
        <w:rPr>
          <w:b/>
          <w:bCs/>
          <w:sz w:val="48"/>
          <w:szCs w:val="48"/>
          <w:u w:val="single"/>
        </w:rPr>
      </w:pPr>
      <w:r w:rsidRPr="00EB454B">
        <w:rPr>
          <w:b/>
          <w:bCs/>
          <w:sz w:val="48"/>
          <w:szCs w:val="48"/>
          <w:u w:val="single"/>
        </w:rPr>
        <w:t>NOTICE</w:t>
      </w:r>
    </w:p>
    <w:p w:rsidR="00EB454B" w:rsidRPr="00EB454B" w:rsidRDefault="00EB454B" w:rsidP="00EB454B">
      <w:pPr>
        <w:spacing w:after="0" w:line="240" w:lineRule="auto"/>
        <w:jc w:val="right"/>
        <w:rPr>
          <w:b/>
          <w:bCs/>
        </w:rPr>
      </w:pPr>
      <w:r w:rsidRPr="00EB454B">
        <w:rPr>
          <w:b/>
          <w:bCs/>
        </w:rPr>
        <w:t>Kochi</w:t>
      </w:r>
    </w:p>
    <w:p w:rsidR="00EB454B" w:rsidRDefault="00EB454B" w:rsidP="00EB454B">
      <w:pPr>
        <w:spacing w:after="0" w:line="240" w:lineRule="auto"/>
        <w:jc w:val="right"/>
        <w:rPr>
          <w:b/>
          <w:bCs/>
        </w:rPr>
      </w:pPr>
      <w:r w:rsidRPr="00EB454B">
        <w:rPr>
          <w:b/>
          <w:bCs/>
        </w:rPr>
        <w:t>11-02-2013</w:t>
      </w:r>
    </w:p>
    <w:p w:rsidR="00EB454B" w:rsidRDefault="00EB454B" w:rsidP="00EB454B">
      <w:pPr>
        <w:spacing w:after="0" w:line="240" w:lineRule="auto"/>
        <w:jc w:val="right"/>
        <w:rPr>
          <w:b/>
          <w:bCs/>
        </w:rPr>
      </w:pPr>
    </w:p>
    <w:p w:rsidR="00EB454B" w:rsidRDefault="00EB454B" w:rsidP="00EB454B">
      <w:pPr>
        <w:spacing w:after="0" w:line="240" w:lineRule="auto"/>
        <w:jc w:val="right"/>
        <w:rPr>
          <w:b/>
          <w:bCs/>
        </w:rPr>
      </w:pPr>
    </w:p>
    <w:p w:rsidR="00EB454B" w:rsidRDefault="00EB454B" w:rsidP="00EB454B">
      <w:pPr>
        <w:spacing w:after="0" w:line="240" w:lineRule="auto"/>
        <w:jc w:val="both"/>
      </w:pPr>
      <w:r>
        <w:t>Notice is hereby given to All the members of Vijaya Bank Retirees Association that the 3</w:t>
      </w:r>
      <w:r w:rsidRPr="00EB454B">
        <w:rPr>
          <w:vertAlign w:val="superscript"/>
        </w:rPr>
        <w:t>rd</w:t>
      </w:r>
      <w:r>
        <w:t xml:space="preserve"> General Body Meeting of the Association shall be held on Sunday the 17</w:t>
      </w:r>
      <w:r w:rsidRPr="00EB454B">
        <w:rPr>
          <w:vertAlign w:val="superscript"/>
        </w:rPr>
        <w:t>th</w:t>
      </w:r>
      <w:r>
        <w:t xml:space="preserve"> March 2013 at Hotel Ajantha, 22-A, Mahatma Gandhi Road, Bangalore – 560 001(Phone No.244844321(5 lines)Grams: “Ajantha”, Fax (080)25584780) to transact the following:-</w:t>
      </w:r>
    </w:p>
    <w:p w:rsidR="00EB454B" w:rsidRDefault="00EB454B" w:rsidP="00EB454B">
      <w:pPr>
        <w:spacing w:after="0" w:line="240" w:lineRule="auto"/>
        <w:jc w:val="both"/>
      </w:pPr>
    </w:p>
    <w:p w:rsidR="00EB454B" w:rsidRDefault="00EB454B" w:rsidP="00EB454B">
      <w:pPr>
        <w:spacing w:after="0" w:line="240" w:lineRule="auto"/>
        <w:jc w:val="center"/>
        <w:rPr>
          <w:sz w:val="48"/>
          <w:szCs w:val="48"/>
          <w:u w:val="single"/>
        </w:rPr>
      </w:pPr>
      <w:r w:rsidRPr="00EB454B">
        <w:rPr>
          <w:sz w:val="48"/>
          <w:szCs w:val="48"/>
          <w:u w:val="single"/>
        </w:rPr>
        <w:t>AGENDA</w:t>
      </w:r>
    </w:p>
    <w:p w:rsidR="00EB454B" w:rsidRDefault="00EB454B" w:rsidP="00EB454B">
      <w:pPr>
        <w:spacing w:after="0" w:line="240" w:lineRule="auto"/>
        <w:jc w:val="both"/>
        <w:rPr>
          <w:u w:val="single"/>
        </w:rPr>
      </w:pPr>
    </w:p>
    <w:p w:rsidR="00EB454B" w:rsidRDefault="00EB454B" w:rsidP="00EB454B">
      <w:pPr>
        <w:pStyle w:val="ListParagraph"/>
        <w:numPr>
          <w:ilvl w:val="0"/>
          <w:numId w:val="14"/>
        </w:numPr>
        <w:spacing w:after="0" w:line="240" w:lineRule="auto"/>
        <w:jc w:val="both"/>
      </w:pPr>
      <w:r>
        <w:t>To adopt the report of the General Secretary</w:t>
      </w:r>
    </w:p>
    <w:p w:rsidR="00EB454B" w:rsidRDefault="00EB454B" w:rsidP="00EB454B">
      <w:pPr>
        <w:pStyle w:val="ListParagraph"/>
        <w:numPr>
          <w:ilvl w:val="0"/>
          <w:numId w:val="14"/>
        </w:numPr>
        <w:spacing w:after="0" w:line="240" w:lineRule="auto"/>
        <w:jc w:val="both"/>
      </w:pPr>
      <w:r>
        <w:t>To adopt the statement of accounts</w:t>
      </w:r>
    </w:p>
    <w:p w:rsidR="00EB454B" w:rsidRDefault="00EB454B" w:rsidP="00EB454B">
      <w:pPr>
        <w:pStyle w:val="ListParagraph"/>
        <w:numPr>
          <w:ilvl w:val="0"/>
          <w:numId w:val="14"/>
        </w:numPr>
        <w:spacing w:after="0" w:line="240" w:lineRule="auto"/>
        <w:jc w:val="both"/>
      </w:pPr>
      <w:r>
        <w:t>To consider all such Resolutions of which previous notice of 15 days in writing has been given by any member of the union to the General Secretary.</w:t>
      </w:r>
    </w:p>
    <w:p w:rsidR="00EB454B" w:rsidRDefault="00EB454B" w:rsidP="00EB454B">
      <w:pPr>
        <w:pStyle w:val="ListParagraph"/>
        <w:numPr>
          <w:ilvl w:val="0"/>
          <w:numId w:val="14"/>
        </w:numPr>
        <w:spacing w:after="0" w:line="240" w:lineRule="auto"/>
        <w:jc w:val="both"/>
      </w:pPr>
      <w:r>
        <w:t>To adopt the resolution recommended by the Central Committee.</w:t>
      </w:r>
    </w:p>
    <w:p w:rsidR="00EB454B" w:rsidRDefault="00EB454B" w:rsidP="00EB454B">
      <w:pPr>
        <w:pStyle w:val="ListParagraph"/>
        <w:numPr>
          <w:ilvl w:val="0"/>
          <w:numId w:val="14"/>
        </w:numPr>
        <w:spacing w:after="0" w:line="240" w:lineRule="auto"/>
        <w:jc w:val="both"/>
      </w:pPr>
      <w:r>
        <w:t>To discuss and adopt the amendment of the Constitution.</w:t>
      </w:r>
    </w:p>
    <w:p w:rsidR="00EB454B" w:rsidRDefault="00EB454B" w:rsidP="00EB454B">
      <w:pPr>
        <w:pStyle w:val="ListParagraph"/>
        <w:numPr>
          <w:ilvl w:val="0"/>
          <w:numId w:val="14"/>
        </w:numPr>
        <w:spacing w:after="0" w:line="240" w:lineRule="auto"/>
        <w:jc w:val="both"/>
      </w:pPr>
      <w:r>
        <w:t>Any other issues that may be brought forward with the permission of the Chair.</w:t>
      </w:r>
    </w:p>
    <w:p w:rsidR="00EB454B" w:rsidRDefault="00EB454B" w:rsidP="00EB454B">
      <w:pPr>
        <w:pStyle w:val="ListParagraph"/>
        <w:numPr>
          <w:ilvl w:val="0"/>
          <w:numId w:val="14"/>
        </w:numPr>
        <w:spacing w:after="0" w:line="240" w:lineRule="auto"/>
        <w:jc w:val="both"/>
      </w:pPr>
      <w:r>
        <w:t>To elect Office bearers for the ensuing term.</w:t>
      </w:r>
    </w:p>
    <w:p w:rsidR="00EB454B" w:rsidRDefault="00EB454B" w:rsidP="00EB454B">
      <w:pPr>
        <w:spacing w:after="0" w:line="240" w:lineRule="auto"/>
        <w:ind w:left="360"/>
        <w:jc w:val="both"/>
      </w:pPr>
    </w:p>
    <w:p w:rsidR="00EB454B" w:rsidRDefault="00EB454B" w:rsidP="00EB454B">
      <w:pPr>
        <w:spacing w:after="0" w:line="240" w:lineRule="auto"/>
        <w:ind w:left="360"/>
        <w:jc w:val="both"/>
      </w:pPr>
      <w:r>
        <w:t>All members are requested to attend the meeting.</w:t>
      </w:r>
    </w:p>
    <w:p w:rsidR="00EB454B" w:rsidRDefault="00EB454B" w:rsidP="00EB454B">
      <w:pPr>
        <w:spacing w:after="0" w:line="240" w:lineRule="auto"/>
        <w:ind w:left="360"/>
        <w:jc w:val="both"/>
      </w:pPr>
    </w:p>
    <w:p w:rsidR="00EB454B" w:rsidRDefault="00EB454B" w:rsidP="00EB454B">
      <w:pPr>
        <w:spacing w:after="0" w:line="240" w:lineRule="auto"/>
        <w:ind w:left="360"/>
        <w:jc w:val="both"/>
      </w:pPr>
      <w:r>
        <w:tab/>
      </w:r>
      <w:r>
        <w:tab/>
      </w:r>
      <w:r>
        <w:tab/>
      </w:r>
      <w:r>
        <w:tab/>
      </w:r>
      <w:r>
        <w:tab/>
      </w:r>
      <w:r>
        <w:tab/>
      </w:r>
      <w:r>
        <w:tab/>
      </w:r>
      <w:r>
        <w:tab/>
      </w:r>
      <w:r>
        <w:tab/>
        <w:t xml:space="preserve">    S.G.EMBRAN</w:t>
      </w:r>
    </w:p>
    <w:p w:rsidR="00EB454B" w:rsidRPr="00EB454B" w:rsidRDefault="00EB454B" w:rsidP="00EB454B">
      <w:pPr>
        <w:spacing w:after="0" w:line="240" w:lineRule="auto"/>
        <w:ind w:left="360"/>
        <w:jc w:val="both"/>
      </w:pPr>
      <w:r>
        <w:tab/>
      </w:r>
      <w:r>
        <w:tab/>
      </w:r>
      <w:r>
        <w:tab/>
      </w:r>
      <w:r>
        <w:tab/>
      </w:r>
      <w:r>
        <w:tab/>
      </w:r>
      <w:r>
        <w:tab/>
      </w:r>
      <w:r>
        <w:tab/>
      </w:r>
      <w:r>
        <w:tab/>
      </w:r>
      <w:r>
        <w:tab/>
        <w:t xml:space="preserve">General Secretary </w:t>
      </w:r>
    </w:p>
    <w:p w:rsidR="005D1B1C" w:rsidRDefault="005D1B1C" w:rsidP="005C2DDD">
      <w:pPr>
        <w:spacing w:after="0" w:line="240" w:lineRule="auto"/>
        <w:rPr>
          <w:noProof/>
          <w:lang w:bidi="as-IN"/>
        </w:rPr>
      </w:pPr>
      <w:r>
        <w:rPr>
          <w:noProof/>
          <w:lang w:bidi="as-IN"/>
        </w:rPr>
        <w:tab/>
      </w:r>
      <w:r>
        <w:rPr>
          <w:noProof/>
          <w:lang w:bidi="as-IN"/>
        </w:rPr>
        <w:tab/>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p>
    <w:p w:rsidR="008A531C" w:rsidRPr="008A531C" w:rsidRDefault="008A531C" w:rsidP="008A531C">
      <w:pPr>
        <w:spacing w:after="0" w:line="240" w:lineRule="auto"/>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sectPr w:rsidR="008A531C" w:rsidSect="00130273">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17F" w:rsidRDefault="00BD017F" w:rsidP="003573F5">
      <w:pPr>
        <w:spacing w:after="0" w:line="240" w:lineRule="auto"/>
      </w:pPr>
      <w:r>
        <w:separator/>
      </w:r>
    </w:p>
  </w:endnote>
  <w:endnote w:type="continuationSeparator" w:id="1">
    <w:p w:rsidR="00BD017F" w:rsidRDefault="00BD017F" w:rsidP="0035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17F" w:rsidRDefault="00BD017F" w:rsidP="003573F5">
      <w:pPr>
        <w:spacing w:after="0" w:line="240" w:lineRule="auto"/>
      </w:pPr>
      <w:r>
        <w:separator/>
      </w:r>
    </w:p>
  </w:footnote>
  <w:footnote w:type="continuationSeparator" w:id="1">
    <w:p w:rsidR="00BD017F" w:rsidRDefault="00BD017F" w:rsidP="00357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519"/>
    <w:multiLevelType w:val="hybridMultilevel"/>
    <w:tmpl w:val="5B926DA6"/>
    <w:lvl w:ilvl="0" w:tplc="F782C75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0366D"/>
    <w:multiLevelType w:val="hybridMultilevel"/>
    <w:tmpl w:val="1B86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00935"/>
    <w:multiLevelType w:val="hybridMultilevel"/>
    <w:tmpl w:val="A1EC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072D6"/>
    <w:multiLevelType w:val="hybridMultilevel"/>
    <w:tmpl w:val="DF30A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F259E"/>
    <w:multiLevelType w:val="hybridMultilevel"/>
    <w:tmpl w:val="5BD80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0D7C"/>
    <w:multiLevelType w:val="hybridMultilevel"/>
    <w:tmpl w:val="7E4E0170"/>
    <w:lvl w:ilvl="0" w:tplc="0E263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7B04D3"/>
    <w:multiLevelType w:val="hybridMultilevel"/>
    <w:tmpl w:val="2FBEF748"/>
    <w:lvl w:ilvl="0" w:tplc="E7347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91347A"/>
    <w:multiLevelType w:val="hybridMultilevel"/>
    <w:tmpl w:val="63089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F6994"/>
    <w:multiLevelType w:val="hybridMultilevel"/>
    <w:tmpl w:val="4D506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E47B1"/>
    <w:multiLevelType w:val="hybridMultilevel"/>
    <w:tmpl w:val="821A7D58"/>
    <w:lvl w:ilvl="0" w:tplc="42089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1507A"/>
    <w:multiLevelType w:val="hybridMultilevel"/>
    <w:tmpl w:val="0C009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400AB"/>
    <w:multiLevelType w:val="hybridMultilevel"/>
    <w:tmpl w:val="F210D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44C72"/>
    <w:multiLevelType w:val="hybridMultilevel"/>
    <w:tmpl w:val="F3BE5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2046DA"/>
    <w:multiLevelType w:val="hybridMultilevel"/>
    <w:tmpl w:val="18C0E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9"/>
  </w:num>
  <w:num w:numId="7">
    <w:abstractNumId w:val="13"/>
  </w:num>
  <w:num w:numId="8">
    <w:abstractNumId w:val="12"/>
  </w:num>
  <w:num w:numId="9">
    <w:abstractNumId w:val="8"/>
  </w:num>
  <w:num w:numId="10">
    <w:abstractNumId w:val="1"/>
  </w:num>
  <w:num w:numId="11">
    <w:abstractNumId w:val="2"/>
  </w:num>
  <w:num w:numId="12">
    <w:abstractNumId w:val="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61B3"/>
    <w:rsid w:val="00043E5F"/>
    <w:rsid w:val="0006102D"/>
    <w:rsid w:val="000954C2"/>
    <w:rsid w:val="000A53D9"/>
    <w:rsid w:val="000B7B50"/>
    <w:rsid w:val="000F6823"/>
    <w:rsid w:val="00105EA7"/>
    <w:rsid w:val="00130273"/>
    <w:rsid w:val="00154F67"/>
    <w:rsid w:val="0016053D"/>
    <w:rsid w:val="00174D23"/>
    <w:rsid w:val="001921A8"/>
    <w:rsid w:val="001B6BF1"/>
    <w:rsid w:val="001C2B8F"/>
    <w:rsid w:val="001D7E2B"/>
    <w:rsid w:val="001E0753"/>
    <w:rsid w:val="001E3A47"/>
    <w:rsid w:val="00201D68"/>
    <w:rsid w:val="00276E98"/>
    <w:rsid w:val="002C2BA4"/>
    <w:rsid w:val="002D138A"/>
    <w:rsid w:val="002D2DC6"/>
    <w:rsid w:val="002E7305"/>
    <w:rsid w:val="002F206B"/>
    <w:rsid w:val="00327CE3"/>
    <w:rsid w:val="003376D1"/>
    <w:rsid w:val="003573F5"/>
    <w:rsid w:val="00384AC9"/>
    <w:rsid w:val="0038634A"/>
    <w:rsid w:val="0038763B"/>
    <w:rsid w:val="003D5839"/>
    <w:rsid w:val="00401512"/>
    <w:rsid w:val="00420593"/>
    <w:rsid w:val="004232D2"/>
    <w:rsid w:val="0049038E"/>
    <w:rsid w:val="00490E38"/>
    <w:rsid w:val="004B4FC5"/>
    <w:rsid w:val="004E2922"/>
    <w:rsid w:val="00500D05"/>
    <w:rsid w:val="00510A38"/>
    <w:rsid w:val="005614BE"/>
    <w:rsid w:val="00577090"/>
    <w:rsid w:val="0058446E"/>
    <w:rsid w:val="005863B9"/>
    <w:rsid w:val="005A32D6"/>
    <w:rsid w:val="005C2DDD"/>
    <w:rsid w:val="005D1B1C"/>
    <w:rsid w:val="00656D05"/>
    <w:rsid w:val="00664863"/>
    <w:rsid w:val="006A7CE6"/>
    <w:rsid w:val="006C1254"/>
    <w:rsid w:val="006C32A0"/>
    <w:rsid w:val="00724D32"/>
    <w:rsid w:val="00730057"/>
    <w:rsid w:val="00746EAB"/>
    <w:rsid w:val="00773689"/>
    <w:rsid w:val="007A61B3"/>
    <w:rsid w:val="007A7728"/>
    <w:rsid w:val="007B06B5"/>
    <w:rsid w:val="007B55E5"/>
    <w:rsid w:val="007E30C4"/>
    <w:rsid w:val="008016FD"/>
    <w:rsid w:val="00822EDB"/>
    <w:rsid w:val="00853B88"/>
    <w:rsid w:val="0087055C"/>
    <w:rsid w:val="008A4BAE"/>
    <w:rsid w:val="008A531C"/>
    <w:rsid w:val="008A78B1"/>
    <w:rsid w:val="008E4300"/>
    <w:rsid w:val="00913276"/>
    <w:rsid w:val="00922D61"/>
    <w:rsid w:val="009269D5"/>
    <w:rsid w:val="0093099D"/>
    <w:rsid w:val="0094280B"/>
    <w:rsid w:val="0095467C"/>
    <w:rsid w:val="00954D7F"/>
    <w:rsid w:val="00962F85"/>
    <w:rsid w:val="0097079E"/>
    <w:rsid w:val="00981FDB"/>
    <w:rsid w:val="0099231F"/>
    <w:rsid w:val="009D20C4"/>
    <w:rsid w:val="009E1713"/>
    <w:rsid w:val="00A00C90"/>
    <w:rsid w:val="00A41AB7"/>
    <w:rsid w:val="00A72D9C"/>
    <w:rsid w:val="00A73B91"/>
    <w:rsid w:val="00AB3EC7"/>
    <w:rsid w:val="00AE0957"/>
    <w:rsid w:val="00AF0B80"/>
    <w:rsid w:val="00AF764E"/>
    <w:rsid w:val="00B16625"/>
    <w:rsid w:val="00B22815"/>
    <w:rsid w:val="00B30CE5"/>
    <w:rsid w:val="00B47C2B"/>
    <w:rsid w:val="00B712F3"/>
    <w:rsid w:val="00B97F8A"/>
    <w:rsid w:val="00BC2944"/>
    <w:rsid w:val="00BC7ED8"/>
    <w:rsid w:val="00BD017F"/>
    <w:rsid w:val="00BF2783"/>
    <w:rsid w:val="00C02FFC"/>
    <w:rsid w:val="00C2608C"/>
    <w:rsid w:val="00C415E9"/>
    <w:rsid w:val="00C44D41"/>
    <w:rsid w:val="00C829A5"/>
    <w:rsid w:val="00C9447F"/>
    <w:rsid w:val="00CB1A9F"/>
    <w:rsid w:val="00CB5FA7"/>
    <w:rsid w:val="00CC450D"/>
    <w:rsid w:val="00CD6C01"/>
    <w:rsid w:val="00D2069A"/>
    <w:rsid w:val="00D41D9E"/>
    <w:rsid w:val="00D47807"/>
    <w:rsid w:val="00D60DBE"/>
    <w:rsid w:val="00D75A9A"/>
    <w:rsid w:val="00D87724"/>
    <w:rsid w:val="00DD24F2"/>
    <w:rsid w:val="00DD60A9"/>
    <w:rsid w:val="00DE5825"/>
    <w:rsid w:val="00DE6FB9"/>
    <w:rsid w:val="00E356A5"/>
    <w:rsid w:val="00E43142"/>
    <w:rsid w:val="00E43655"/>
    <w:rsid w:val="00E62F0E"/>
    <w:rsid w:val="00E67208"/>
    <w:rsid w:val="00E777FA"/>
    <w:rsid w:val="00E84789"/>
    <w:rsid w:val="00E92457"/>
    <w:rsid w:val="00EA4651"/>
    <w:rsid w:val="00EB3369"/>
    <w:rsid w:val="00EB454B"/>
    <w:rsid w:val="00F06633"/>
    <w:rsid w:val="00F102C3"/>
    <w:rsid w:val="00F136D1"/>
    <w:rsid w:val="00F45FE5"/>
    <w:rsid w:val="00F5117B"/>
    <w:rsid w:val="00F56D78"/>
    <w:rsid w:val="00F731C1"/>
    <w:rsid w:val="00F74570"/>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3"/>
  </w:style>
  <w:style w:type="paragraph" w:styleId="Heading2">
    <w:name w:val="heading 2"/>
    <w:basedOn w:val="Normal"/>
    <w:next w:val="Normal"/>
    <w:link w:val="Heading2Char"/>
    <w:uiPriority w:val="9"/>
    <w:unhideWhenUsed/>
    <w:qFormat/>
    <w:rsid w:val="00F56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B3"/>
    <w:pPr>
      <w:ind w:left="720"/>
      <w:contextualSpacing/>
    </w:pPr>
  </w:style>
  <w:style w:type="paragraph" w:styleId="Header">
    <w:name w:val="header"/>
    <w:basedOn w:val="Normal"/>
    <w:link w:val="HeaderChar"/>
    <w:uiPriority w:val="99"/>
    <w:semiHidden/>
    <w:unhideWhenUsed/>
    <w:rsid w:val="00357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3F5"/>
  </w:style>
  <w:style w:type="paragraph" w:styleId="Footer">
    <w:name w:val="footer"/>
    <w:basedOn w:val="Normal"/>
    <w:link w:val="FooterChar"/>
    <w:uiPriority w:val="99"/>
    <w:semiHidden/>
    <w:unhideWhenUsed/>
    <w:rsid w:val="00357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3F5"/>
  </w:style>
  <w:style w:type="character" w:styleId="CommentReference">
    <w:name w:val="annotation reference"/>
    <w:basedOn w:val="DefaultParagraphFont"/>
    <w:uiPriority w:val="99"/>
    <w:semiHidden/>
    <w:unhideWhenUsed/>
    <w:rsid w:val="00F56D78"/>
    <w:rPr>
      <w:sz w:val="16"/>
      <w:szCs w:val="16"/>
    </w:rPr>
  </w:style>
  <w:style w:type="paragraph" w:styleId="CommentText">
    <w:name w:val="annotation text"/>
    <w:basedOn w:val="Normal"/>
    <w:link w:val="CommentTextChar"/>
    <w:uiPriority w:val="99"/>
    <w:semiHidden/>
    <w:unhideWhenUsed/>
    <w:rsid w:val="00F56D78"/>
    <w:pPr>
      <w:spacing w:line="240" w:lineRule="auto"/>
    </w:pPr>
    <w:rPr>
      <w:sz w:val="20"/>
      <w:szCs w:val="20"/>
    </w:rPr>
  </w:style>
  <w:style w:type="character" w:customStyle="1" w:styleId="CommentTextChar">
    <w:name w:val="Comment Text Char"/>
    <w:basedOn w:val="DefaultParagraphFont"/>
    <w:link w:val="CommentText"/>
    <w:uiPriority w:val="99"/>
    <w:semiHidden/>
    <w:rsid w:val="00F56D78"/>
    <w:rPr>
      <w:sz w:val="20"/>
      <w:szCs w:val="20"/>
    </w:rPr>
  </w:style>
  <w:style w:type="paragraph" w:styleId="CommentSubject">
    <w:name w:val="annotation subject"/>
    <w:basedOn w:val="CommentText"/>
    <w:next w:val="CommentText"/>
    <w:link w:val="CommentSubjectChar"/>
    <w:uiPriority w:val="99"/>
    <w:semiHidden/>
    <w:unhideWhenUsed/>
    <w:rsid w:val="00F56D78"/>
    <w:rPr>
      <w:b/>
      <w:bCs/>
    </w:rPr>
  </w:style>
  <w:style w:type="character" w:customStyle="1" w:styleId="CommentSubjectChar">
    <w:name w:val="Comment Subject Char"/>
    <w:basedOn w:val="CommentTextChar"/>
    <w:link w:val="CommentSubject"/>
    <w:uiPriority w:val="99"/>
    <w:semiHidden/>
    <w:rsid w:val="00F56D78"/>
    <w:rPr>
      <w:b/>
      <w:bCs/>
    </w:rPr>
  </w:style>
  <w:style w:type="paragraph" w:styleId="BalloonText">
    <w:name w:val="Balloon Text"/>
    <w:basedOn w:val="Normal"/>
    <w:link w:val="BalloonTextChar"/>
    <w:uiPriority w:val="99"/>
    <w:semiHidden/>
    <w:unhideWhenUsed/>
    <w:rsid w:val="00F5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78"/>
    <w:rPr>
      <w:rFonts w:ascii="Tahoma" w:hAnsi="Tahoma" w:cs="Tahoma"/>
      <w:sz w:val="16"/>
      <w:szCs w:val="16"/>
    </w:rPr>
  </w:style>
  <w:style w:type="character" w:customStyle="1" w:styleId="Heading2Char">
    <w:name w:val="Heading 2 Char"/>
    <w:basedOn w:val="DefaultParagraphFont"/>
    <w:link w:val="Heading2"/>
    <w:uiPriority w:val="9"/>
    <w:rsid w:val="00F56D7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C287-2CB9-4722-8772-057410B2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2013-02-07T16:16:00Z</cp:lastPrinted>
  <dcterms:created xsi:type="dcterms:W3CDTF">2012-10-26T15:35:00Z</dcterms:created>
  <dcterms:modified xsi:type="dcterms:W3CDTF">2013-02-07T16:26:00Z</dcterms:modified>
</cp:coreProperties>
</file>